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Krajowy system cyberbezpieczeństwa.</w:t>
      </w:r>
    </w:p>
    <w:p>
      <w:pPr>
        <w:pStyle w:val="NormalStyle"/>
      </w:pPr>
      <w:r>
        <w:t>Dz.U.2026.20 t.j. z dnia 2026.01.09</w:t>
      </w:r>
    </w:p>
    <w:p>
      <w:pPr>
        <w:pStyle w:val="NormalStyle"/>
      </w:pPr>
      <w:r>
        <w:t xml:space="preserve">Status: Akt obowiązujący </w:t>
      </w:r>
    </w:p>
    <w:p>
      <w:pPr>
        <w:pStyle w:val="NormalStyle"/>
      </w:pPr>
      <w:r>
        <w:t>Wersja od: 4 lipca 2026r.  do: 27 października 2026r.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28 sierpnia 2018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5 lipca 2018 r.</w:t>
      </w:r>
    </w:p>
    <w:p>
      <w:pPr>
        <w:spacing w:before="80" w:after="0"/>
        <w:ind w:left="0"/>
        <w:jc w:val="center"/>
        <w:textAlignment w:val="auto"/>
      </w:pPr>
      <w:r>
        <w:rPr>
          <w:rFonts w:ascii="Times New Roman"/>
          <w:b/>
          <w:i w:val="false"/>
          <w:color w:val="000000"/>
          <w:sz w:val="24"/>
          <w:lang w:val="pl-PL"/>
        </w:rPr>
        <w:t xml:space="preserve"> o krajowym systemie cyberbezpieczeństwa </w:t>
      </w:r>
      <w:r>
        <w:rPr>
          <w:rFonts w:ascii="Times New Roman"/>
          <w:b/>
          <w:i w:val="false"/>
          <w:color w:val="000000"/>
          <w:sz w:val="24"/>
          <w:vertAlign w:val="superscript"/>
          <w:lang w:val="pl-PL"/>
        </w:rPr>
        <w:t>1</w:t>
      </w:r>
      <w:r>
        <w:rPr>
          <w:rFonts w:ascii="Times New Roman"/>
          <w:b/>
          <w:i w:val="false"/>
          <w:color w:val="000000"/>
          <w:sz w:val="24"/>
          <w:lang w:val="pl-PL"/>
        </w:rPr>
        <w:t xml:space="preserve"> , </w:t>
      </w:r>
      <w:r>
        <w:rPr>
          <w:rFonts w:ascii="Times New Roman"/>
          <w:b/>
          <w:i w:val="false"/>
          <w:color w:val="000000"/>
          <w:sz w:val="24"/>
          <w:vertAlign w:val="superscript"/>
          <w:lang w:val="pl-PL"/>
        </w:rPr>
        <w:t>2</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[Zakres regulacji]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Ustawa określa: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organizację krajowego systemu cyberbezpieczeństwa oraz zadania i obowiązki podmiotów wchodzących w skład tego systemu;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sprawowania nadzoru i kontroli w zakresie stosowania przepisów ustawy;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Strategii Cyberbezpieczeństwa Rzeczypospolitej Polskiej;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Krajowego planu reagowania na incydenty i sytuacje kryzysowe w cyberbezpieczeństwie na dużą skalę, zwanego dalej "Krajowym planem".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Ustawy nie stosuje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podmiotów wykonujących działalność leczniczą, tworzonych przez Szefa Agencji Bezpieczeństwa Wewnętrznego lub Szefa Agencji Wywiadu.</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[Definicje]</w:t>
      </w:r>
    </w:p>
    <w:p>
      <w:pPr>
        <w:spacing w:after="0"/>
        <w:ind w:left="0"/>
        <w:jc w:val="left"/>
        <w:textAlignment w:val="auto"/>
      </w:pPr>
      <w:r>
        <w:rPr>
          <w:rFonts w:ascii="Times New Roman"/>
          <w:b w:val="false"/>
          <w:i w:val="false"/>
          <w:color w:val="000000"/>
          <w:sz w:val="24"/>
          <w:lang w:val="pl-PL"/>
        </w:rPr>
        <w:t>Użyte w ustawie określenia oznaczają: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GOV - Zespół Reagowania na Incydenty Bezpieczeństwa Komputerowego działający na poziomie krajowym, prowadzony przez Szefa Agencji Bezpieczeństwa Wewnętrznego;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MON - Zespół Reagowania na Incydenty Bezpieczeństwa Komputerowego działający na poziomie krajowym, prowadzony przez Ministra Obrony Narodowej;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CSIRT NASK - Zespół Reagowania na Incydenty Bezpieczeństwa Komputerowego działający na poziomie krajowym, prowadzony przez Naukową i Akademicką Sieć Komputerową - Państwowy Instytut Badawczy;</w:t>
      </w:r>
    </w:p>
    <w:p>
      <w:pPr>
        <w:spacing w:before="26" w:after="0"/>
        <w:ind w:left="373"/>
        <w:jc w:val="left"/>
        <w:textAlignment w:val="auto"/>
      </w:pPr>
      <w:r>
        <w:rPr>
          <w:rFonts w:ascii="Times New Roman"/>
          <w:b w:val="false"/>
          <w:i w:val="false"/>
          <w:color w:val="000000"/>
          <w:sz w:val="24"/>
          <w:lang w:val="pl-PL"/>
        </w:rPr>
        <w:t xml:space="preserve">3a) </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CSIRT sektorowy - Zespół Reagowania na Incydenty Bezpieczeństwa Komputerowego, działający na poziomie sektora lub podsektora, ustanowiony przez organ właściwy do spraw cyberbezpieczeństwa dla danego sektora lub podsektora;</w:t>
      </w:r>
    </w:p>
    <w:p>
      <w:pPr>
        <w:spacing w:before="26" w:after="0"/>
        <w:ind w:left="373"/>
        <w:jc w:val="left"/>
        <w:textAlignment w:val="auto"/>
      </w:pPr>
      <w:r>
        <w:rPr>
          <w:rFonts w:ascii="Times New Roman"/>
          <w:b w:val="false"/>
          <w:i w:val="false"/>
          <w:color w:val="000000"/>
          <w:sz w:val="24"/>
          <w:lang w:val="pl-PL"/>
        </w:rPr>
        <w:t xml:space="preserve">3b) </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abonent nazwy domeny - podmiot będący stroną umowy o utrzymywanie nazwy domeny zawartej z rejestrem nazw domen najwyższego poziomu (TLD), za pośrednictwem podmiotu świadczącego usługi rejestracji nazw domen;</w:t>
      </w:r>
    </w:p>
    <w:p>
      <w:pPr>
        <w:spacing w:before="26" w:after="0"/>
        <w:ind w:left="373"/>
        <w:jc w:val="left"/>
        <w:textAlignment w:val="auto"/>
      </w:pPr>
      <w:r>
        <w:rPr>
          <w:rFonts w:ascii="Times New Roman"/>
          <w:b w:val="false"/>
          <w:i w:val="false"/>
          <w:color w:val="000000"/>
          <w:sz w:val="24"/>
          <w:lang w:val="pl-PL"/>
        </w:rPr>
        <w:t xml:space="preserve">3c) </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 do doręczeń elektronicznych - adres,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(Dz. U. z 2026 r. poz. 3);</w:t>
      </w:r>
    </w:p>
    <w:p>
      <w:pPr>
        <w:spacing w:before="26" w:after="0"/>
        <w:ind w:left="373"/>
        <w:jc w:val="left"/>
        <w:textAlignment w:val="auto"/>
      </w:pPr>
      <w:r>
        <w:rPr>
          <w:rFonts w:ascii="Times New Roman"/>
          <w:b w:val="false"/>
          <w:i w:val="false"/>
          <w:color w:val="000000"/>
          <w:sz w:val="24"/>
          <w:lang w:val="pl-PL"/>
        </w:rPr>
        <w:t xml:space="preserve">3d) </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bezpieczeństwo systemów informacyjnych - odporność systemów informacyjnych, przy danym poziomie pewności, na zdarzenia naruszające poufność, integralność, dostępność i autentyczność przetwarzanych danych lub związanych z nimi usług oferowanych przez te systemy;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cyberbezpieczeństwo - cyberbezpieczeństwo w rozumieniu </w:t>
      </w:r>
      <w:r>
        <w:rPr>
          <w:rFonts w:ascii="Times New Roman"/>
          <w:b w:val="false"/>
          <w:i w:val="false"/>
          <w:color w:val="1b1b1b"/>
          <w:sz w:val="24"/>
          <w:lang w:val="pl-PL"/>
        </w:rPr>
        <w:t>art. 2 pkt 1</w:t>
      </w:r>
      <w:r>
        <w:rPr>
          <w:rFonts w:ascii="Times New Roman"/>
          <w:b w:val="false"/>
          <w:i w:val="false"/>
          <w:color w:val="000000"/>
          <w:sz w:val="24"/>
          <w:lang w:val="pl-PL"/>
        </w:rPr>
        <w:t xml:space="preserve"> rozporządzenia Parlamentu Europejskiego i Rady (UE) 2019/881 z dnia 17 kwietnia 2019 r. w sprawie ENISA (Agencji Unii Europejskiej ds. Cyberbezpieczeństwa) oraz certyfikacji cyberbezpieczeństwa w zakresie technologii informacyjno-komunikacyjnych oraz uchylenia rozporządzenia (UE) nr 526/2013 (akt o cyberbezpieczeństwie) (Dz. Urz. UE L 151 z 07.06.2019, str. 15, z późn. zm.), zwanego dalej "rozporządzeniem 2019/881";</w:t>
      </w:r>
    </w:p>
    <w:p>
      <w:pPr>
        <w:spacing w:before="26" w:after="0"/>
        <w:ind w:left="373"/>
        <w:jc w:val="left"/>
        <w:textAlignment w:val="auto"/>
      </w:pPr>
      <w:r>
        <w:rPr>
          <w:rFonts w:ascii="Times New Roman"/>
          <w:b w:val="false"/>
          <w:i w:val="false"/>
          <w:color w:val="000000"/>
          <w:sz w:val="24"/>
          <w:lang w:val="pl-PL"/>
        </w:rPr>
        <w:t xml:space="preserve">4a) </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cyberzagrożenie - cyberzagrożenie w rozumieniu </w:t>
      </w:r>
      <w:r>
        <w:rPr>
          <w:rFonts w:ascii="Times New Roman"/>
          <w:b w:val="false"/>
          <w:i w:val="false"/>
          <w:color w:val="1b1b1b"/>
          <w:sz w:val="24"/>
          <w:lang w:val="pl-PL"/>
        </w:rPr>
        <w:t>art. 2 pkt 8</w:t>
      </w:r>
      <w:r>
        <w:rPr>
          <w:rFonts w:ascii="Times New Roman"/>
          <w:b w:val="false"/>
          <w:i w:val="false"/>
          <w:color w:val="000000"/>
          <w:sz w:val="24"/>
          <w:lang w:val="pl-PL"/>
        </w:rPr>
        <w:t xml:space="preserve"> rozporządzenia 2019/881;</w:t>
      </w:r>
    </w:p>
    <w:p>
      <w:pPr>
        <w:spacing w:before="26" w:after="0"/>
        <w:ind w:left="373"/>
        <w:jc w:val="left"/>
        <w:textAlignment w:val="auto"/>
      </w:pPr>
      <w:r>
        <w:rPr>
          <w:rFonts w:ascii="Times New Roman"/>
          <w:b w:val="false"/>
          <w:i w:val="false"/>
          <w:color w:val="000000"/>
          <w:sz w:val="24"/>
          <w:lang w:val="pl-PL"/>
        </w:rPr>
        <w:t xml:space="preserve">4b) </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dostawca sieci dostarczania treści - osobę fizyczną, osobę prawną albo jednostkę organizacyjną nieposiadającą osobowości prawnej, która dostarcza treści i usługi cyfrowe do sieci rozproszonych geograficznie serwerów służących zapewnieniu wysokiej i łatwej dostępności tych treści i usług cyfrowych lub ich szybkiego dostarczania na rzecz użytkowników Internetu w imieniu dostawców treści i usług, z wyłączeniem przedsiębiorców komunikacji elektronicznej;</w:t>
      </w:r>
    </w:p>
    <w:p>
      <w:pPr>
        <w:spacing w:before="26" w:after="0"/>
        <w:ind w:left="373"/>
        <w:jc w:val="left"/>
        <w:textAlignment w:val="auto"/>
      </w:pPr>
      <w:r>
        <w:rPr>
          <w:rFonts w:ascii="Times New Roman"/>
          <w:b w:val="false"/>
          <w:i w:val="false"/>
          <w:color w:val="000000"/>
          <w:sz w:val="24"/>
          <w:lang w:val="pl-PL"/>
        </w:rPr>
        <w:t xml:space="preserve">4c) </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sprzętu lub oprogramowania - producenta, upoważnionego przedstawiciela, importera lub dystrybutora, w rozumieniu odpowiednio </w:t>
      </w:r>
      <w:r>
        <w:rPr>
          <w:rFonts w:ascii="Times New Roman"/>
          <w:b w:val="false"/>
          <w:i w:val="false"/>
          <w:color w:val="1b1b1b"/>
          <w:sz w:val="24"/>
          <w:lang w:val="pl-PL"/>
        </w:rPr>
        <w:t>art. 2 pkt 3-6</w:t>
      </w:r>
      <w:r>
        <w:rPr>
          <w:rFonts w:ascii="Times New Roman"/>
          <w:b w:val="false"/>
          <w:i w:val="false"/>
          <w:color w:val="000000"/>
          <w:sz w:val="24"/>
          <w:lang w:val="pl-PL"/>
        </w:rPr>
        <w:t xml:space="preserve"> rozporządzenia Parlamentu Europejskiego i Rady (WE) nr 765/2008 z dnia 9 lipca 2008 r. ustanawiającego wymagania w zakresie akredytacji i uchylającego rozporządzenie (EWG) nr 339/93 (Dz. Urz. UE L 218 z 13.08.2008, str. 30, z późn. zm.), produktu ICT, usługi ICT lub procesu ICT;</w:t>
      </w:r>
    </w:p>
    <w:p>
      <w:pPr>
        <w:spacing w:before="26" w:after="0"/>
        <w:ind w:left="373"/>
        <w:jc w:val="left"/>
        <w:textAlignment w:val="auto"/>
      </w:pPr>
      <w:r>
        <w:rPr>
          <w:rFonts w:ascii="Times New Roman"/>
          <w:b w:val="false"/>
          <w:i w:val="false"/>
          <w:color w:val="000000"/>
          <w:sz w:val="24"/>
          <w:lang w:val="pl-PL"/>
        </w:rPr>
        <w:t xml:space="preserve">4d) </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internetowej platformy handlowej - osobę fizyczną, osobę prawną albo jednostkę organizacyjną nieposiadającą osobowości prawnej, która dostarcza internetową platformę handlową, o której mowa w </w:t>
      </w:r>
      <w:r>
        <w:rPr>
          <w:rFonts w:ascii="Times New Roman"/>
          <w:b w:val="false"/>
          <w:i w:val="false"/>
          <w:color w:val="1b1b1b"/>
          <w:sz w:val="24"/>
          <w:lang w:val="pl-PL"/>
        </w:rPr>
        <w:t>art. 2 pkt 8</w:t>
      </w:r>
      <w:r>
        <w:rPr>
          <w:rFonts w:ascii="Times New Roman"/>
          <w:b w:val="false"/>
          <w:i w:val="false"/>
          <w:color w:val="000000"/>
          <w:sz w:val="24"/>
          <w:lang w:val="pl-PL"/>
        </w:rPr>
        <w:t xml:space="preserve"> ustawy z dnia 30 maja 2014 r. o prawach konsumenta (Dz. U. z 2024 r. poz. 1796 oraz z 2025 r. poz. 1172);</w:t>
      </w:r>
    </w:p>
    <w:p>
      <w:pPr>
        <w:spacing w:before="26" w:after="0"/>
        <w:ind w:left="373"/>
        <w:jc w:val="left"/>
        <w:textAlignment w:val="auto"/>
      </w:pPr>
      <w:r>
        <w:rPr>
          <w:rFonts w:ascii="Times New Roman"/>
          <w:b w:val="false"/>
          <w:i w:val="false"/>
          <w:color w:val="000000"/>
          <w:sz w:val="24"/>
          <w:lang w:val="pl-PL"/>
        </w:rPr>
        <w:t xml:space="preserve">4e) </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dostawca chmury obliczeniowej - osobę fizyczną, osobę prawną albo jednostkę organizacyjną nieposiadającą osobowości prawnej, która świadczy usługę umożliwiającą dostęp do skalowalnego i elastycznego zbioru zasobów obliczeniowych do wspólnego wykorzystywania przez wielu użytkowników;</w:t>
      </w:r>
    </w:p>
    <w:p>
      <w:pPr>
        <w:spacing w:before="26" w:after="0"/>
        <w:ind w:left="373"/>
        <w:jc w:val="left"/>
        <w:textAlignment w:val="auto"/>
      </w:pPr>
      <w:r>
        <w:rPr>
          <w:rFonts w:ascii="Times New Roman"/>
          <w:b w:val="false"/>
          <w:i w:val="false"/>
          <w:color w:val="000000"/>
          <w:sz w:val="24"/>
          <w:lang w:val="pl-PL"/>
        </w:rPr>
        <w:t xml:space="preserve">4f) </w:t>
      </w: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platformy sieci usług społecznościowych - osobę fizyczną, osobę prawną albo jednostkę organizacyjną nieposiadającą osobowości prawnej, która świadczy usługę świadczoną drogą elektroniczną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18 lipca 2002 r. o świadczeniu usług drogą elektroniczną (Dz. U. z 2024 r. poz. 1513), która umożliwia użytkownikom końcowym łączenie się z innymi osobami oraz komunikowanie się i wymianę, udostępnianie i odkrywanie treści za pomocą wielu urządzeń;</w:t>
      </w:r>
    </w:p>
    <w:p>
      <w:pPr>
        <w:spacing w:before="26" w:after="0"/>
        <w:ind w:left="373"/>
        <w:jc w:val="left"/>
        <w:textAlignment w:val="auto"/>
      </w:pPr>
      <w:r>
        <w:rPr>
          <w:rFonts w:ascii="Times New Roman"/>
          <w:b w:val="false"/>
          <w:i w:val="false"/>
          <w:color w:val="000000"/>
          <w:sz w:val="24"/>
          <w:lang w:val="pl-PL"/>
        </w:rPr>
        <w:t xml:space="preserve">4g) </w:t>
      </w: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dostawca usług DNS - podmiot, który świadczy dostępne publicznie rekurencyjne usługi rozpoznawania nazw domen na rzecz ogółu użytkowników końcowych Internetu lub autorytatywne usługi rozpoznawania nazw domen do użytku ogółu użytkowników końcowych Internetu, z wyjątkiem głównych serwerów nazw;</w:t>
      </w:r>
    </w:p>
    <w:p>
      <w:pPr>
        <w:spacing w:before="26" w:after="0"/>
        <w:ind w:left="373"/>
        <w:jc w:val="left"/>
        <w:textAlignment w:val="auto"/>
      </w:pPr>
      <w:r>
        <w:rPr>
          <w:rFonts w:ascii="Times New Roman"/>
          <w:b w:val="false"/>
          <w:i w:val="false"/>
          <w:color w:val="000000"/>
          <w:sz w:val="24"/>
          <w:lang w:val="pl-PL"/>
        </w:rPr>
        <w:t xml:space="preserve">4h) </w:t>
      </w: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dostawca usługi centrum przetwarzania danych - osobę fizyczną, osobę prawną albo jednostkę organizacyjną nieposiadającą osobowości prawnej, która świadczy usługę obejmującą struktury lub grupy struktur przeznaczone do scentralizowanego hostingu, zapewniania wzajemnego połączenia i eksploatacji produktów ICT, usług ICT lub procesów ICT służącego do świadczenia usług przechowywania, przetwarzania i transportu danych wraz ze wszystkimi obiektami i całą infrastrukturą, zapewniającymi dystrybucję energii elektrycznej i kontrolę środowiskową;</w:t>
      </w:r>
    </w:p>
    <w:p>
      <w:pPr>
        <w:spacing w:before="26" w:after="0"/>
        <w:ind w:left="373"/>
        <w:jc w:val="left"/>
        <w:textAlignment w:val="auto"/>
      </w:pPr>
      <w:r>
        <w:rPr>
          <w:rFonts w:ascii="Times New Roman"/>
          <w:b w:val="false"/>
          <w:i w:val="false"/>
          <w:color w:val="000000"/>
          <w:sz w:val="24"/>
          <w:lang w:val="pl-PL"/>
        </w:rPr>
        <w:t xml:space="preserve">4i) </w:t>
      </w: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dostawca usług zarządzanych - osobę fizyczną, osobę prawną albo jednostkę organizacyjną nieposiadającą osobowości prawnej, która świadczy usługi związane z instalacją, eksploatacją lub konserwacją produktów ICT, usług ICT, procesów ICT lub systemów informacyjnych przez wsparcie lub aktywną administrację przeprowadzane u usługobiorcy na miejscu lub zdalnie;</w:t>
      </w:r>
    </w:p>
    <w:p>
      <w:pPr>
        <w:spacing w:before="26" w:after="0"/>
        <w:ind w:left="373"/>
        <w:jc w:val="left"/>
        <w:textAlignment w:val="auto"/>
      </w:pPr>
      <w:r>
        <w:rPr>
          <w:rFonts w:ascii="Times New Roman"/>
          <w:b w:val="false"/>
          <w:i w:val="false"/>
          <w:color w:val="000000"/>
          <w:sz w:val="24"/>
          <w:lang w:val="pl-PL"/>
        </w:rPr>
        <w:t xml:space="preserve">4j) </w:t>
      </w: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dostawca usług zarządzanych w zakresie cyberbezpieczeństwa - osobę fizyczną, osobę prawną albo jednostkę organizacyjną nieposiadającą osobowości prawnej, która świadczy usługi polegające na realizacji lub wsparciu dla realizacji działań związanych z zarządzaniem ryzykiem w cyberbezpieczeństwie, w tym obsługę incydentów, testów bezpieczeństwa, audytów systemów informacyjnych, doradztwo;</w:t>
      </w:r>
    </w:p>
    <w:p>
      <w:pPr>
        <w:spacing w:before="26" w:after="0"/>
        <w:ind w:left="373"/>
        <w:jc w:val="left"/>
        <w:textAlignment w:val="auto"/>
      </w:pPr>
      <w:r>
        <w:rPr>
          <w:rFonts w:ascii="Times New Roman"/>
          <w:b w:val="false"/>
          <w:i w:val="false"/>
          <w:color w:val="000000"/>
          <w:sz w:val="24"/>
          <w:lang w:val="pl-PL"/>
        </w:rPr>
        <w:t xml:space="preserve">4k) </w:t>
      </w: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usług zaufania - dostawcę usług zaufania w rozumieniu </w:t>
      </w:r>
      <w:r>
        <w:rPr>
          <w:rFonts w:ascii="Times New Roman"/>
          <w:b w:val="false"/>
          <w:i w:val="false"/>
          <w:color w:val="1b1b1b"/>
          <w:sz w:val="24"/>
          <w:lang w:val="pl-PL"/>
        </w:rPr>
        <w:t>art. 3 pkt 19</w:t>
      </w:r>
      <w:r>
        <w:rPr>
          <w:rFonts w:ascii="Times New Roman"/>
          <w:b w:val="false"/>
          <w:i w:val="false"/>
          <w:color w:val="000000"/>
          <w:sz w:val="24"/>
          <w:lang w:val="pl-PL"/>
        </w:rPr>
        <w:t xml:space="preserve"> rozporządzenia Parlamentu Europejskiego i Rady (UE) nr 910/2014 z dnia 23 lipca 2014 r. w sprawie identyfikacji elektronicznej i usług zaufania w odniesieniu do transakcji elektronicznych na rynku wewnętrznym oraz uchylającego dyrektywę 1999/93/WE (Dz. Urz. UE L 257 z 28.08.2014, str. 73), zwanego dalej "rozporządzeniem 910/2014";</w:t>
      </w:r>
    </w:p>
    <w:p>
      <w:pPr>
        <w:spacing w:before="26" w:after="0"/>
        <w:ind w:left="373"/>
        <w:jc w:val="left"/>
        <w:textAlignment w:val="auto"/>
      </w:pPr>
      <w:r>
        <w:rPr>
          <w:rFonts w:ascii="Times New Roman"/>
          <w:b w:val="false"/>
          <w:i w:val="false"/>
          <w:color w:val="000000"/>
          <w:sz w:val="24"/>
          <w:lang w:val="pl-PL"/>
        </w:rPr>
        <w:t xml:space="preserve">4l) </w:t>
      </w: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wyszukiwarki internetowej - osobę fizyczną, osobę prawną albo jednostkę organizacyjną nieposiadającą osobowości prawnej, która świadczy usługę wyszukiwarki internetowej, o której mowa w </w:t>
      </w:r>
      <w:r>
        <w:rPr>
          <w:rFonts w:ascii="Times New Roman"/>
          <w:b w:val="false"/>
          <w:i w:val="false"/>
          <w:color w:val="1b1b1b"/>
          <w:sz w:val="24"/>
          <w:lang w:val="pl-PL"/>
        </w:rPr>
        <w:t>art. 2 pkt 5</w:t>
      </w:r>
      <w:r>
        <w:rPr>
          <w:rFonts w:ascii="Times New Roman"/>
          <w:b w:val="false"/>
          <w:i w:val="false"/>
          <w:color w:val="000000"/>
          <w:sz w:val="24"/>
          <w:lang w:val="pl-PL"/>
        </w:rPr>
        <w:t xml:space="preserve"> rozporządzenia Parlamentu Europejskiego i Rady (UE) 2019/1150 z dnia 20 czerwca 2019 r. w sprawie propagowania sprawiedliwości i przejrzystości dla użytkowników biznesowych korzystających z usług pośrednictwa internetowego (Dz. Urz. UE L 186 z 11.07.2019, str. 57);</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incydent - zdarzenie, które ma lub może mieć niekorzystny wpływ na bezpieczeństwo systemów informacyjnych;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incydent krytyczny - incydent skutkujący znaczną szkodą dla bezpieczeństwa lub porządku publicznego, interesów międzynarodowych, interesów gospodarczych, działania instytucji publicznych, praw i wolności obywatelskich lub życia i zdrowia ludzi, klasyfikowany przez właściwy CSIRT MON, CSIRT NASK lub CSIRT GOV;</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w:t>
      </w:r>
      <w:r>
        <w:rPr>
          <w:rFonts w:ascii="Times New Roman"/>
          <w:b w:val="false"/>
          <w:i w:val="false"/>
          <w:color w:val="000000"/>
          <w:sz w:val="24"/>
          <w:lang w:val="pl-PL"/>
        </w:rPr>
        <w:t>incydent poważny - incydent, który powoduje lub może spowodować poważne obniżenie jakości lub przerwanie ciągłości świadczenia usługi przez podmiot kluczowy lub podmiot ważny, straty finansowe dla tego podmiotu lub wpływa na inne osoby fizyczne, osoby prawne, jednostki organizacyjne nieposiadające osobowości prawnej przez wywołanie poważnej szkody materialnej lub niematerialnej;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w:t>
      </w:r>
      <w:r>
        <w:rPr>
          <w:rFonts w:ascii="Times New Roman"/>
          <w:b w:val="false"/>
          <w:i w:val="false"/>
          <w:color w:val="000000"/>
          <w:sz w:val="24"/>
          <w:lang w:val="pl-PL"/>
        </w:rPr>
        <w:t>incydent w cyberbezpieczeństwie na dużą skalę - incydent, którego skutki przekraczają możliwości reagowania państwa lub który ma poważny wpływ na inne państwo członkowskie Unii Europejskiej;</w:t>
      </w:r>
    </w:p>
    <w:p>
      <w:pPr>
        <w:spacing w:before="26" w:after="0"/>
        <w:ind w:left="373"/>
        <w:jc w:val="left"/>
        <w:textAlignment w:val="auto"/>
      </w:pPr>
      <w:r>
        <w:rPr>
          <w:rFonts w:ascii="Times New Roman"/>
          <w:b w:val="false"/>
          <w:i w:val="false"/>
          <w:color w:val="000000"/>
          <w:sz w:val="24"/>
          <w:lang w:val="pl-PL"/>
        </w:rPr>
        <w:t xml:space="preserve">8a) </w:t>
      </w:r>
      <w:r>
        <w:rPr>
          <w:rFonts w:ascii="Times New Roman"/>
          <w:b w:val="false"/>
          <w:i w:val="false"/>
          <w:color w:val="000000"/>
          <w:sz w:val="24"/>
          <w:vertAlign w:val="superscript"/>
          <w:lang w:val="pl-PL"/>
        </w:rPr>
        <w:t>26</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kierownik podmiotu kluczowego lub podmiotu ważnego - kierownik jednostki w rozumieniu </w:t>
      </w:r>
      <w:r>
        <w:rPr>
          <w:rFonts w:ascii="Times New Roman"/>
          <w:b w:val="false"/>
          <w:i w:val="false"/>
          <w:color w:val="1b1b1b"/>
          <w:sz w:val="24"/>
          <w:lang w:val="pl-PL"/>
        </w:rPr>
        <w:t>art. 3 ust. 1 pkt 6</w:t>
      </w:r>
      <w:r>
        <w:rPr>
          <w:rFonts w:ascii="Times New Roman"/>
          <w:b w:val="false"/>
          <w:i w:val="false"/>
          <w:color w:val="000000"/>
          <w:sz w:val="24"/>
          <w:lang w:val="pl-PL"/>
        </w:rPr>
        <w:t xml:space="preserve"> ustawy z dnia 29 września 1994 r. o rachunkowości (Dz. U. z 2023 r. poz. 120, z późn. zm.) kierujący podmiotem kluczowym lub podmiotem ważnym, a w przypadku podmiotu kluczowego lub podmiotu ważnego będącego jednostką sektora finansów publicznych - kierownik jednostki sektora finansów publicznych, o którym mowa w </w:t>
      </w:r>
      <w:r>
        <w:rPr>
          <w:rFonts w:ascii="Times New Roman"/>
          <w:b w:val="false"/>
          <w:i w:val="false"/>
          <w:color w:val="1b1b1b"/>
          <w:sz w:val="24"/>
          <w:lang w:val="pl-PL"/>
        </w:rPr>
        <w:t>art. 53 ust. 1</w:t>
      </w:r>
      <w:r>
        <w:rPr>
          <w:rFonts w:ascii="Times New Roman"/>
          <w:b w:val="false"/>
          <w:i w:val="false"/>
          <w:color w:val="000000"/>
          <w:sz w:val="24"/>
          <w:lang w:val="pl-PL"/>
        </w:rPr>
        <w:t xml:space="preserve"> ustawy z dnia 27 sierpnia 2009 r. o finansach publicznych (Dz. U. z 2025 r. poz. 1483, 1844 i 1846);</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obsługa incydentu - czynności umożliwiające wykrywanie, rejestrowanie, analizowanie, klasyfikowanie, priorytetyzację, podejmowanie działań naprawczych i ograniczenie skutków incydentu;</w:t>
      </w:r>
    </w:p>
    <w:p>
      <w:pPr>
        <w:spacing w:before="26" w:after="0"/>
        <w:ind w:left="373"/>
        <w:jc w:val="left"/>
        <w:textAlignment w:val="auto"/>
      </w:pPr>
      <w:r>
        <w:rPr>
          <w:rFonts w:ascii="Times New Roman"/>
          <w:b w:val="false"/>
          <w:i w:val="false"/>
          <w:color w:val="000000"/>
          <w:sz w:val="24"/>
          <w:lang w:val="pl-PL"/>
        </w:rPr>
        <w:t xml:space="preserve">10a) </w:t>
      </w: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organizacja badawcza - niebędącą podmiotem kluczowym osobę prawną, albo jednostkę organizacyjną nieposiadającą osobowości prawnej, której podstawową działalnością jest działalność, o której mowa w </w:t>
      </w:r>
      <w:r>
        <w:rPr>
          <w:rFonts w:ascii="Times New Roman"/>
          <w:b w:val="false"/>
          <w:i w:val="false"/>
          <w:color w:val="1b1b1b"/>
          <w:sz w:val="24"/>
          <w:lang w:val="pl-PL"/>
        </w:rPr>
        <w:t>art. 4 ust. 2 pkt 2</w:t>
      </w:r>
      <w:r>
        <w:rPr>
          <w:rFonts w:ascii="Times New Roman"/>
          <w:b w:val="false"/>
          <w:i w:val="false"/>
          <w:color w:val="000000"/>
          <w:sz w:val="24"/>
          <w:lang w:val="pl-PL"/>
        </w:rPr>
        <w:t xml:space="preserve"> lub </w:t>
      </w:r>
      <w:r>
        <w:rPr>
          <w:rFonts w:ascii="Times New Roman"/>
          <w:b w:val="false"/>
          <w:i w:val="false"/>
          <w:color w:val="1b1b1b"/>
          <w:sz w:val="24"/>
          <w:lang w:val="pl-PL"/>
        </w:rPr>
        <w:t>ust. 3</w:t>
      </w:r>
      <w:r>
        <w:rPr>
          <w:rFonts w:ascii="Times New Roman"/>
          <w:b w:val="false"/>
          <w:i w:val="false"/>
          <w:color w:val="000000"/>
          <w:sz w:val="24"/>
          <w:lang w:val="pl-PL"/>
        </w:rPr>
        <w:t xml:space="preserve"> ustawy z dnia 20 lipca 2018 r. - Prawo o szkolnictwie wyższym i nauce (Dz. U. z 2024 r. poz. 1571, z późn. zm.), w zakresie, w jakim prowadzi ją z wykorzystaniem systemów informacyjnych;</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w:t>
      </w:r>
      <w:r>
        <w:rPr>
          <w:rFonts w:ascii="Times New Roman"/>
          <w:b w:val="false"/>
          <w:i w:val="false"/>
          <w:color w:val="000000"/>
          <w:sz w:val="24"/>
          <w:lang w:val="pl-PL"/>
        </w:rPr>
        <w:t>podatność - właściwości produktu ICT lub usługi ICT, które mogą być wykorzystane przez cyberzagrożenie;</w:t>
      </w:r>
    </w:p>
    <w:p>
      <w:pPr>
        <w:spacing w:before="26" w:after="0"/>
        <w:ind w:left="373"/>
        <w:jc w:val="left"/>
        <w:textAlignment w:val="auto"/>
      </w:pPr>
      <w:r>
        <w:rPr>
          <w:rFonts w:ascii="Times New Roman"/>
          <w:b w:val="false"/>
          <w:i w:val="false"/>
          <w:color w:val="000000"/>
          <w:sz w:val="24"/>
          <w:lang w:val="pl-PL"/>
        </w:rPr>
        <w:t xml:space="preserve">11a) </w:t>
      </w: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finansowy - podmiot, o którym mowa w </w:t>
      </w:r>
      <w:r>
        <w:rPr>
          <w:rFonts w:ascii="Times New Roman"/>
          <w:b w:val="false"/>
          <w:i w:val="false"/>
          <w:color w:val="1b1b1b"/>
          <w:sz w:val="24"/>
          <w:lang w:val="pl-PL"/>
        </w:rPr>
        <w:t>art. 2 ust. 1 lit. a-t</w:t>
      </w:r>
      <w:r>
        <w:rPr>
          <w:rFonts w:ascii="Times New Roman"/>
          <w:b w:val="false"/>
          <w:i w:val="false"/>
          <w:color w:val="000000"/>
          <w:sz w:val="24"/>
          <w:lang w:val="pl-PL"/>
        </w:rPr>
        <w:t xml:space="preserve"> rozporządzenia Parlamentu Europejskiego i Rady (UE) 2022/2554 z dnia 14 grudnia 2022 r. w sprawie operacyjnej odporności cyfrowej sektora finansowego i zmieniającego rozporządzenia (WE) nr 1060/2009, (UE) nr 648/2012, (UE) nr 600/2014, (UE) nr 909/2014 oraz (UE) 2016/1011 (Dz. Urz. UE L 333 z 27.12.2022, str. 1, z późn. zm.), zwanego dalej "rozporządzeniem 2022/2554";</w:t>
      </w:r>
    </w:p>
    <w:p>
      <w:pPr>
        <w:spacing w:before="26" w:after="0"/>
        <w:ind w:left="373"/>
        <w:jc w:val="left"/>
        <w:textAlignment w:val="auto"/>
      </w:pPr>
      <w:r>
        <w:rPr>
          <w:rFonts w:ascii="Times New Roman"/>
          <w:b w:val="false"/>
          <w:i w:val="false"/>
          <w:color w:val="000000"/>
          <w:sz w:val="24"/>
          <w:lang w:val="pl-PL"/>
        </w:rPr>
        <w:t xml:space="preserve">11b) </w:t>
      </w: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w:t>
      </w:r>
      <w:r>
        <w:rPr>
          <w:rFonts w:ascii="Times New Roman"/>
          <w:b w:val="false"/>
          <w:i w:val="false"/>
          <w:color w:val="000000"/>
          <w:sz w:val="24"/>
          <w:lang w:val="pl-PL"/>
        </w:rPr>
        <w:t>podmiot publiczny - podmiot wskazany w załączniku nr 1 lub 2 do ustawy w sektorze podmioty publiczne;</w:t>
      </w:r>
    </w:p>
    <w:p>
      <w:pPr>
        <w:spacing w:before="26" w:after="0"/>
        <w:ind w:left="373"/>
        <w:jc w:val="left"/>
        <w:textAlignment w:val="auto"/>
      </w:pPr>
      <w:r>
        <w:rPr>
          <w:rFonts w:ascii="Times New Roman"/>
          <w:b w:val="false"/>
          <w:i w:val="false"/>
          <w:color w:val="000000"/>
          <w:sz w:val="24"/>
          <w:lang w:val="pl-PL"/>
        </w:rPr>
        <w:t xml:space="preserve">11c) </w:t>
      </w: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krytyczny - podmiot krytyczny w rozumieniu </w:t>
      </w:r>
      <w:r>
        <w:rPr>
          <w:rFonts w:ascii="Times New Roman"/>
          <w:b w:val="false"/>
          <w:i w:val="false"/>
          <w:color w:val="1b1b1b"/>
          <w:sz w:val="24"/>
          <w:lang w:val="pl-PL"/>
        </w:rPr>
        <w:t>art. 2 pkt 1</w:t>
      </w:r>
      <w:r>
        <w:rPr>
          <w:rFonts w:ascii="Times New Roman"/>
          <w:b w:val="false"/>
          <w:i w:val="false"/>
          <w:color w:val="000000"/>
          <w:sz w:val="24"/>
          <w:lang w:val="pl-PL"/>
        </w:rPr>
        <w:t xml:space="preserve"> dyrektywy Parlamentu Europejskiego i Rady (UE) 2022/2557 z dnia 14 grudnia 2022 r. w sprawie odporności podmiotów krytycznych i uchylającej dyrektywę Rady 2008/114/WE (Dz. Urz. UE L 333 z 27.12.2022, str. 164), zwanej dalej "dyrektywą 2022/2557";</w:t>
      </w:r>
    </w:p>
    <w:p>
      <w:pPr>
        <w:spacing w:before="26" w:after="0"/>
        <w:ind w:left="373"/>
        <w:jc w:val="left"/>
        <w:textAlignment w:val="auto"/>
      </w:pPr>
      <w:r>
        <w:rPr>
          <w:rFonts w:ascii="Times New Roman"/>
          <w:b w:val="false"/>
          <w:i w:val="false"/>
          <w:color w:val="000000"/>
          <w:sz w:val="24"/>
          <w:lang w:val="pl-PL"/>
        </w:rPr>
        <w:t xml:space="preserve">11d) </w:t>
      </w: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w:t>
      </w:r>
      <w:r>
        <w:rPr>
          <w:rFonts w:ascii="Times New Roman"/>
          <w:b w:val="false"/>
          <w:i w:val="false"/>
          <w:color w:val="000000"/>
          <w:sz w:val="24"/>
          <w:lang w:val="pl-PL"/>
        </w:rPr>
        <w:t>podmiot świadczący usługi rejestracji nazw domen - rejestratora lub agenta działającego w imieniu rejestratorów, w tym dostawcę lub odsprzedawcę usług w zakresie prywatnej rejestracji lub pośrednictwa w rejestracji;</w:t>
      </w:r>
    </w:p>
    <w:p>
      <w:pPr>
        <w:spacing w:before="26" w:after="0"/>
        <w:ind w:left="373"/>
        <w:jc w:val="left"/>
        <w:textAlignment w:val="auto"/>
      </w:pPr>
      <w:r>
        <w:rPr>
          <w:rFonts w:ascii="Times New Roman"/>
          <w:b w:val="false"/>
          <w:i w:val="false"/>
          <w:color w:val="000000"/>
          <w:sz w:val="24"/>
          <w:lang w:val="pl-PL"/>
        </w:rPr>
        <w:t xml:space="preserve">11e) </w:t>
      </w:r>
      <w:r>
        <w:rPr>
          <w:rFonts w:ascii="Times New Roman"/>
          <w:b w:val="false"/>
          <w:i w:val="false"/>
          <w:color w:val="000000"/>
          <w:sz w:val="24"/>
          <w:vertAlign w:val="superscript"/>
          <w:lang w:val="pl-PL"/>
        </w:rPr>
        <w:t>34</w:t>
      </w:r>
      <w:r>
        <w:rPr>
          <w:rFonts w:ascii="Times New Roman"/>
          <w:b w:val="false"/>
          <w:i w:val="false"/>
          <w:color w:val="000000"/>
          <w:sz w:val="24"/>
          <w:lang w:val="pl-PL"/>
        </w:rPr>
        <w:t xml:space="preserve"> </w:t>
      </w:r>
      <w:r>
        <w:rPr>
          <w:rFonts w:ascii="Times New Roman"/>
          <w:b w:val="false"/>
          <w:i w:val="false"/>
          <w:color w:val="000000"/>
          <w:sz w:val="24"/>
          <w:lang w:val="pl-PL"/>
        </w:rPr>
        <w:t>potencjalne zdarzenie dla cyberbezpieczeństwa - zdarzenie, które mogło mieć niekorzystny wpływ na bezpieczeństwo systemów informacyjnych, które jednak nie wystąpiło lub któremu udało się zapobiec;</w:t>
      </w:r>
    </w:p>
    <w:p>
      <w:pPr>
        <w:spacing w:before="26" w:after="0"/>
        <w:ind w:left="373"/>
        <w:jc w:val="left"/>
        <w:textAlignment w:val="auto"/>
      </w:pPr>
      <w:r>
        <w:rPr>
          <w:rFonts w:ascii="Times New Roman"/>
          <w:b w:val="false"/>
          <w:i w:val="false"/>
          <w:color w:val="000000"/>
          <w:sz w:val="24"/>
          <w:lang w:val="pl-PL"/>
        </w:rPr>
        <w:t xml:space="preserve">11f) </w:t>
      </w: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w:t>
      </w:r>
      <w:r>
        <w:rPr>
          <w:rFonts w:ascii="Times New Roman"/>
          <w:b w:val="false"/>
          <w:i w:val="false"/>
          <w:color w:val="000000"/>
          <w:sz w:val="24"/>
          <w:lang w:val="pl-PL"/>
        </w:rPr>
        <w:t>poważne cyberzagrożenie - cyberzagrożenie, które przez swoje właściwości techniczne może mieć poważny wpływ na bezpieczeństwo systemów informacyjnych lub użytkowników tych systemów przez wywołanie poważnej szkody materialnej lub niematerialnej;</w:t>
      </w:r>
    </w:p>
    <w:p>
      <w:pPr>
        <w:spacing w:before="26" w:after="0"/>
        <w:ind w:left="373"/>
        <w:jc w:val="left"/>
        <w:textAlignment w:val="auto"/>
      </w:pPr>
      <w:r>
        <w:rPr>
          <w:rFonts w:ascii="Times New Roman"/>
          <w:b w:val="false"/>
          <w:i w:val="false"/>
          <w:color w:val="000000"/>
          <w:sz w:val="24"/>
          <w:lang w:val="pl-PL"/>
        </w:rPr>
        <w:t xml:space="preserve">11g) </w:t>
      </w:r>
      <w:r>
        <w:rPr>
          <w:rFonts w:ascii="Times New Roman"/>
          <w:b w:val="false"/>
          <w:i w:val="false"/>
          <w:color w:val="000000"/>
          <w:sz w:val="24"/>
          <w:vertAlign w:val="superscript"/>
          <w:lang w:val="pl-PL"/>
        </w:rPr>
        <w:t>36</w:t>
      </w:r>
      <w:r>
        <w:rPr>
          <w:rFonts w:ascii="Times New Roman"/>
          <w:b w:val="false"/>
          <w:i w:val="false"/>
          <w:color w:val="000000"/>
          <w:sz w:val="24"/>
          <w:lang w:val="pl-PL"/>
        </w:rPr>
        <w:t xml:space="preserve"> </w:t>
      </w:r>
      <w:r>
        <w:rPr>
          <w:rFonts w:ascii="Times New Roman"/>
          <w:b w:val="false"/>
          <w:i w:val="false"/>
          <w:color w:val="000000"/>
          <w:sz w:val="24"/>
          <w:lang w:val="pl-PL"/>
        </w:rPr>
        <w:t>projekt - przedsięwzięcie realizowane w ramach programu, o którym mowa w art. 45a ust. 1, na podstawie umowy o dofinansowanie, zawieranej między beneficjentem a podmiotem udzielającym pomocy;</w:t>
      </w:r>
    </w:p>
    <w:p>
      <w:pPr>
        <w:spacing w:before="26" w:after="0"/>
        <w:ind w:left="373"/>
        <w:jc w:val="left"/>
        <w:textAlignment w:val="auto"/>
      </w:pPr>
      <w:r>
        <w:rPr>
          <w:rFonts w:ascii="Times New Roman"/>
          <w:b w:val="false"/>
          <w:i w:val="false"/>
          <w:color w:val="000000"/>
          <w:sz w:val="24"/>
          <w:lang w:val="pl-PL"/>
        </w:rPr>
        <w:t xml:space="preserve">11h) </w:t>
      </w: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poważny incydent związany z ICT - poważny incydent związany z technologiami informacyjno-komunikacyjnymi w rozumieniu </w:t>
      </w:r>
      <w:r>
        <w:rPr>
          <w:rFonts w:ascii="Times New Roman"/>
          <w:b w:val="false"/>
          <w:i w:val="false"/>
          <w:color w:val="1b1b1b"/>
          <w:sz w:val="24"/>
          <w:lang w:val="pl-PL"/>
        </w:rPr>
        <w:t>art. 3 pkt 10</w:t>
      </w:r>
      <w:r>
        <w:rPr>
          <w:rFonts w:ascii="Times New Roman"/>
          <w:b w:val="false"/>
          <w:i w:val="false"/>
          <w:color w:val="000000"/>
          <w:sz w:val="24"/>
          <w:lang w:val="pl-PL"/>
        </w:rPr>
        <w:t xml:space="preserve"> rozporządzenia 2022/2554;</w:t>
      </w:r>
    </w:p>
    <w:p>
      <w:pPr>
        <w:spacing w:before="26" w:after="0"/>
        <w:ind w:left="373"/>
        <w:jc w:val="left"/>
        <w:textAlignment w:val="auto"/>
      </w:pPr>
      <w:r>
        <w:rPr>
          <w:rFonts w:ascii="Times New Roman"/>
          <w:b w:val="false"/>
          <w:i w:val="false"/>
          <w:color w:val="000000"/>
          <w:sz w:val="24"/>
          <w:lang w:val="pl-PL"/>
        </w:rPr>
        <w:t xml:space="preserve">11i) </w:t>
      </w: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komunikacji elektronicznej - przedsiębiorcę komunikacji elektronicznej w rozumieniu </w:t>
      </w:r>
      <w:r>
        <w:rPr>
          <w:rFonts w:ascii="Times New Roman"/>
          <w:b w:val="false"/>
          <w:i w:val="false"/>
          <w:color w:val="1b1b1b"/>
          <w:sz w:val="24"/>
          <w:lang w:val="pl-PL"/>
        </w:rPr>
        <w:t>art. 2 pkt 39</w:t>
      </w:r>
      <w:r>
        <w:rPr>
          <w:rFonts w:ascii="Times New Roman"/>
          <w:b w:val="false"/>
          <w:i w:val="false"/>
          <w:color w:val="000000"/>
          <w:sz w:val="24"/>
          <w:lang w:val="pl-PL"/>
        </w:rPr>
        <w:t xml:space="preserve"> ustawy z dnia 12 lipca 2024 r. - Prawo komunikacji elektronicznej (Dz. U. poz. 1221 oraz z 2025 r. poz. 637 i 820);</w:t>
      </w:r>
    </w:p>
    <w:p>
      <w:pPr>
        <w:spacing w:before="26" w:after="0"/>
        <w:ind w:left="373"/>
        <w:jc w:val="left"/>
        <w:textAlignment w:val="auto"/>
      </w:pPr>
      <w:r>
        <w:rPr>
          <w:rFonts w:ascii="Times New Roman"/>
          <w:b w:val="false"/>
          <w:i w:val="false"/>
          <w:color w:val="000000"/>
          <w:sz w:val="24"/>
          <w:lang w:val="pl-PL"/>
        </w:rPr>
        <w:t xml:space="preserve">11j) </w:t>
      </w:r>
      <w:r>
        <w:rPr>
          <w:rFonts w:ascii="Times New Roman"/>
          <w:b w:val="false"/>
          <w:i w:val="false"/>
          <w:color w:val="000000"/>
          <w:sz w:val="24"/>
          <w:vertAlign w:val="superscript"/>
          <w:lang w:val="pl-PL"/>
        </w:rPr>
        <w:t>39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telekomunikacyjny - przedsiębiorcę telekomunikacyjnego w rozumieniu </w:t>
      </w:r>
      <w:r>
        <w:rPr>
          <w:rFonts w:ascii="Times New Roman"/>
          <w:b w:val="false"/>
          <w:i w:val="false"/>
          <w:color w:val="1b1b1b"/>
          <w:sz w:val="24"/>
          <w:lang w:val="pl-PL"/>
        </w:rPr>
        <w:t>art. 2 pkt 40</w:t>
      </w:r>
      <w:r>
        <w:rPr>
          <w:rFonts w:ascii="Times New Roman"/>
          <w:b w:val="false"/>
          <w:i w:val="false"/>
          <w:color w:val="000000"/>
          <w:sz w:val="24"/>
          <w:lang w:val="pl-PL"/>
        </w:rPr>
        <w:t xml:space="preserve"> ustawy z dnia 12 lipca 2024 r. - Prawo komunikacji elektronicznej;</w:t>
      </w:r>
    </w:p>
    <w:p>
      <w:pPr>
        <w:spacing w:before="26" w:after="0"/>
        <w:ind w:left="373"/>
        <w:jc w:val="left"/>
        <w:textAlignment w:val="auto"/>
      </w:pPr>
      <w:r>
        <w:rPr>
          <w:rFonts w:ascii="Times New Roman"/>
          <w:b w:val="false"/>
          <w:i w:val="false"/>
          <w:color w:val="000000"/>
          <w:sz w:val="24"/>
          <w:lang w:val="pl-PL"/>
        </w:rPr>
        <w:t xml:space="preserve">11k) </w:t>
      </w: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proces ICT - proces ICT w rozumieniu </w:t>
      </w:r>
      <w:r>
        <w:rPr>
          <w:rFonts w:ascii="Times New Roman"/>
          <w:b w:val="false"/>
          <w:i w:val="false"/>
          <w:color w:val="1b1b1b"/>
          <w:sz w:val="24"/>
          <w:lang w:val="pl-PL"/>
        </w:rPr>
        <w:t>art. 2 pkt 14</w:t>
      </w:r>
      <w:r>
        <w:rPr>
          <w:rFonts w:ascii="Times New Roman"/>
          <w:b w:val="false"/>
          <w:i w:val="false"/>
          <w:color w:val="000000"/>
          <w:sz w:val="24"/>
          <w:lang w:val="pl-PL"/>
        </w:rPr>
        <w:t xml:space="preserve"> rozporządzenia 2019/881;</w:t>
      </w:r>
    </w:p>
    <w:p>
      <w:pPr>
        <w:spacing w:before="26" w:after="0"/>
        <w:ind w:left="373"/>
        <w:jc w:val="left"/>
        <w:textAlignment w:val="auto"/>
      </w:pPr>
      <w:r>
        <w:rPr>
          <w:rFonts w:ascii="Times New Roman"/>
          <w:b w:val="false"/>
          <w:i w:val="false"/>
          <w:color w:val="000000"/>
          <w:sz w:val="24"/>
          <w:lang w:val="pl-PL"/>
        </w:rPr>
        <w:t xml:space="preserve">11l) </w:t>
      </w:r>
      <w:r>
        <w:rPr>
          <w:rFonts w:ascii="Times New Roman"/>
          <w:b w:val="false"/>
          <w:i w:val="false"/>
          <w:color w:val="000000"/>
          <w:sz w:val="24"/>
          <w:vertAlign w:val="superscript"/>
          <w:lang w:val="pl-PL"/>
        </w:rPr>
        <w:t>41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produkt ICT - produkt ICT w rozumieniu </w:t>
      </w:r>
      <w:r>
        <w:rPr>
          <w:rFonts w:ascii="Times New Roman"/>
          <w:b w:val="false"/>
          <w:i w:val="false"/>
          <w:color w:val="1b1b1b"/>
          <w:sz w:val="24"/>
          <w:lang w:val="pl-PL"/>
        </w:rPr>
        <w:t>art. 2 pkt 12</w:t>
      </w:r>
      <w:r>
        <w:rPr>
          <w:rFonts w:ascii="Times New Roman"/>
          <w:b w:val="false"/>
          <w:i w:val="false"/>
          <w:color w:val="000000"/>
          <w:sz w:val="24"/>
          <w:lang w:val="pl-PL"/>
        </w:rPr>
        <w:t xml:space="preserve"> rozporządzenia 2019/881;</w:t>
      </w:r>
    </w:p>
    <w:p>
      <w:pPr>
        <w:spacing w:before="26" w:after="0"/>
        <w:ind w:left="373"/>
        <w:jc w:val="left"/>
        <w:textAlignment w:val="auto"/>
      </w:pPr>
      <w:r>
        <w:rPr>
          <w:rFonts w:ascii="Times New Roman"/>
          <w:b w:val="false"/>
          <w:i w:val="false"/>
          <w:color w:val="000000"/>
          <w:sz w:val="24"/>
          <w:lang w:val="pl-PL"/>
        </w:rPr>
        <w:t xml:space="preserve">11m) </w:t>
      </w:r>
      <w:r>
        <w:rPr>
          <w:rFonts w:ascii="Times New Roman"/>
          <w:b w:val="false"/>
          <w:i w:val="false"/>
          <w:color w:val="000000"/>
          <w:sz w:val="24"/>
          <w:vertAlign w:val="superscript"/>
          <w:lang w:val="pl-PL"/>
        </w:rPr>
        <w:t>42</w:t>
      </w:r>
      <w:r>
        <w:rPr>
          <w:rFonts w:ascii="Times New Roman"/>
          <w:b w:val="false"/>
          <w:i w:val="false"/>
          <w:color w:val="000000"/>
          <w:sz w:val="24"/>
          <w:lang w:val="pl-PL"/>
        </w:rPr>
        <w:t xml:space="preserve"> </w:t>
      </w:r>
      <w:r>
        <w:rPr>
          <w:rFonts w:ascii="Times New Roman"/>
          <w:b w:val="false"/>
          <w:i w:val="false"/>
          <w:color w:val="000000"/>
          <w:sz w:val="24"/>
          <w:lang w:val="pl-PL"/>
        </w:rPr>
        <w:t xml:space="preserve">usługa ICT - usługę ICT w rozumieniu </w:t>
      </w:r>
      <w:r>
        <w:rPr>
          <w:rFonts w:ascii="Times New Roman"/>
          <w:b w:val="false"/>
          <w:i w:val="false"/>
          <w:color w:val="1b1b1b"/>
          <w:sz w:val="24"/>
          <w:lang w:val="pl-PL"/>
        </w:rPr>
        <w:t>art. 2 pkt 13</w:t>
      </w:r>
      <w:r>
        <w:rPr>
          <w:rFonts w:ascii="Times New Roman"/>
          <w:b w:val="false"/>
          <w:i w:val="false"/>
          <w:color w:val="000000"/>
          <w:sz w:val="24"/>
          <w:lang w:val="pl-PL"/>
        </w:rPr>
        <w:t xml:space="preserve"> rozporządzenia 2019/881;</w:t>
      </w:r>
    </w:p>
    <w:p>
      <w:pPr>
        <w:spacing w:before="26" w:after="0"/>
        <w:ind w:left="373"/>
        <w:jc w:val="left"/>
        <w:textAlignment w:val="auto"/>
      </w:pPr>
      <w:r>
        <w:rPr>
          <w:rFonts w:ascii="Times New Roman"/>
          <w:b w:val="false"/>
          <w:i w:val="false"/>
          <w:color w:val="000000"/>
          <w:sz w:val="24"/>
          <w:lang w:val="pl-PL"/>
        </w:rPr>
        <w:t xml:space="preserve">11n) </w:t>
      </w:r>
      <w:r>
        <w:rPr>
          <w:rFonts w:ascii="Times New Roman"/>
          <w:b w:val="false"/>
          <w:i w:val="false"/>
          <w:color w:val="000000"/>
          <w:sz w:val="24"/>
          <w:vertAlign w:val="superscript"/>
          <w:lang w:val="pl-PL"/>
        </w:rPr>
        <w:t>43</w:t>
      </w:r>
      <w:r>
        <w:rPr>
          <w:rFonts w:ascii="Times New Roman"/>
          <w:b w:val="false"/>
          <w:i w:val="false"/>
          <w:color w:val="000000"/>
          <w:sz w:val="24"/>
          <w:lang w:val="pl-PL"/>
        </w:rPr>
        <w:t xml:space="preserve"> </w:t>
      </w:r>
      <w:r>
        <w:rPr>
          <w:rFonts w:ascii="Times New Roman"/>
          <w:b w:val="false"/>
          <w:i w:val="false"/>
          <w:color w:val="000000"/>
          <w:sz w:val="24"/>
          <w:lang w:val="pl-PL"/>
        </w:rPr>
        <w:t>rejestr nazw domen najwyższego poziomu (TLD) - podmiot, któremu powierzono konkretną domenę najwyższego poziomu (TLD) i który odpowiada za zarządzanie nią, w tym za rejestrację nazw domen w ramach TLD oraz za jej techniczne funkcjonowanie, w tym za obsługę jej serwerów nazw, utrzymanie jej baz danych oraz dystrybucję plików strefowych TLD we wszystkich serwerach nazw, bez względu na to, czy którekolwiek z tych działań jest wykonywane przez sam podmiot czy zlecane na zewnątrz, ale z wyłączeniem sytuacji, w których rejestr wykorzystuje nazwy TLD wyłącznie do własnego użytku;</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ryzyko - kombinację prawdopodobieństwa wystąpienia zdarzenia niepożądanego i jego konsekwencji;</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szacowanie ryzyka - całościowy proces identyfikacji, analizy i oceny ryzyka;</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vertAlign w:val="superscript"/>
          <w:lang w:val="pl-PL"/>
        </w:rPr>
        <w:t>44</w:t>
      </w:r>
      <w:r>
        <w:rPr>
          <w:rFonts w:ascii="Times New Roman"/>
          <w:b w:val="false"/>
          <w:i w:val="false"/>
          <w:color w:val="000000"/>
          <w:sz w:val="24"/>
          <w:lang w:val="pl-PL"/>
        </w:rPr>
        <w:t xml:space="preserve"> </w:t>
      </w:r>
      <w:r>
        <w:rPr>
          <w:rFonts w:ascii="Times New Roman"/>
          <w:b w:val="false"/>
          <w:i w:val="false"/>
          <w:color w:val="000000"/>
          <w:sz w:val="24"/>
          <w:lang w:val="pl-PL"/>
        </w:rPr>
        <w:t>system informacyjny: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system teleinformatyczny, o którym mowa w </w:t>
      </w:r>
      <w:r>
        <w:rPr>
          <w:rFonts w:ascii="Times New Roman"/>
          <w:b w:val="false"/>
          <w:i w:val="false"/>
          <w:color w:val="1b1b1b"/>
          <w:sz w:val="24"/>
          <w:lang w:val="pl-PL"/>
        </w:rPr>
        <w:t>art. 3 pkt 3</w:t>
      </w:r>
      <w:r>
        <w:rPr>
          <w:rFonts w:ascii="Times New Roman"/>
          <w:b w:val="false"/>
          <w:i w:val="false"/>
          <w:color w:val="000000"/>
          <w:sz w:val="24"/>
          <w:lang w:val="pl-PL"/>
        </w:rPr>
        <w:t xml:space="preserve"> ustawy z dnia 17 lutego 2005 r. o informatyzacji działalności podmiotów realizujących zadania publiczne (Dz. U. z 2025 r. poz. 1703 oraz z 2026 r. poz. 160),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urządzenie lub grupę połączonych urządzeń i oprogramowania zaprogramowanych w celu przetwarzania danych</w:t>
      </w:r>
    </w:p>
    <w:p>
      <w:pPr>
        <w:spacing w:before="25" w:after="0"/>
        <w:ind w:left="373"/>
        <w:jc w:val="left"/>
        <w:textAlignment w:val="auto"/>
      </w:pPr>
      <w:r>
        <w:rPr>
          <w:rFonts w:ascii="Times New Roman"/>
          <w:b w:val="false"/>
          <w:i w:val="false"/>
          <w:color w:val="000000"/>
          <w:sz w:val="24"/>
          <w:lang w:val="pl-PL"/>
        </w:rPr>
        <w:t>- wraz z danymi przetwarzanymi w postaci elektronicznej;</w:t>
      </w:r>
    </w:p>
    <w:p>
      <w:pPr>
        <w:spacing w:before="26" w:after="0"/>
        <w:ind w:left="373"/>
        <w:jc w:val="left"/>
        <w:textAlignment w:val="auto"/>
      </w:pPr>
      <w:r>
        <w:rPr>
          <w:rFonts w:ascii="Times New Roman"/>
          <w:b w:val="false"/>
          <w:i w:val="false"/>
          <w:color w:val="000000"/>
          <w:sz w:val="24"/>
          <w:lang w:val="pl-PL"/>
        </w:rPr>
        <w:t xml:space="preserve">14a) </w:t>
      </w:r>
      <w:r>
        <w:rPr>
          <w:rFonts w:ascii="Times New Roman"/>
          <w:b w:val="false"/>
          <w:i w:val="false"/>
          <w:color w:val="000000"/>
          <w:sz w:val="24"/>
          <w:vertAlign w:val="superscript"/>
          <w:lang w:val="pl-PL"/>
        </w:rPr>
        <w:t>45</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właściwy organ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2022/2554 - Komisję Nadzoru Finansowego w zakresie nadzoru przewidzianego </w:t>
      </w:r>
      <w:r>
        <w:rPr>
          <w:rFonts w:ascii="Times New Roman"/>
          <w:b w:val="false"/>
          <w:i w:val="false"/>
          <w:color w:val="1b1b1b"/>
          <w:sz w:val="24"/>
          <w:lang w:val="pl-PL"/>
        </w:rPr>
        <w:t>rozporządzeniem</w:t>
      </w:r>
      <w:r>
        <w:rPr>
          <w:rFonts w:ascii="Times New Roman"/>
          <w:b w:val="false"/>
          <w:i w:val="false"/>
          <w:color w:val="000000"/>
          <w:sz w:val="24"/>
          <w:lang w:val="pl-PL"/>
        </w:rPr>
        <w:t xml:space="preserve"> 2022/2554;</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46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zarządzanie incydentem - obsługę incydentu, wyszukiwanie powiązań między incydentami, usuwanie przyczyn ich wystąpienia oraz opracowywanie wniosków wynikających z obsługi incydentu;</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zarządzanie ryzykiem - skoordynowane działania w zakresie zarządzania cyberbezpieczeństwem w odniesieniu do oszacowanego ryzyka.</w:t>
      </w:r>
    </w:p>
    <w:p>
      <w:pPr>
        <w:spacing w:before="80" w:after="0"/>
        <w:ind w:left="0"/>
        <w:jc w:val="left"/>
        <w:textAlignment w:val="auto"/>
      </w:pPr>
      <w:r>
        <w:rPr>
          <w:rFonts w:ascii="Times New Roman"/>
          <w:b/>
          <w:i w:val="false"/>
          <w:color w:val="000000"/>
          <w:sz w:val="24"/>
          <w:lang w:val="pl-PL"/>
        </w:rPr>
        <w:t xml:space="preserve"> Art. 2a. </w:t>
      </w:r>
      <w:r>
        <w:rPr>
          <w:rFonts w:ascii="Times New Roman"/>
          <w:b/>
          <w:i w:val="false"/>
          <w:color w:val="000000"/>
          <w:sz w:val="24"/>
          <w:vertAlign w:val="superscript"/>
          <w:lang w:val="pl-PL"/>
        </w:rPr>
        <w:t>49</w:t>
      </w:r>
      <w:r>
        <w:rPr>
          <w:rFonts w:ascii="Times New Roman"/>
          <w:b/>
          <w:i w:val="false"/>
          <w:color w:val="000000"/>
          <w:sz w:val="24"/>
          <w:lang w:val="pl-PL"/>
        </w:rPr>
        <w:t xml:space="preserve"> </w:t>
      </w:r>
      <w:r>
        <w:rPr>
          <w:rFonts w:ascii="Times New Roman"/>
          <w:b/>
          <w:i w:val="false"/>
          <w:color w:val="000000"/>
          <w:sz w:val="24"/>
          <w:lang w:val="pl-PL"/>
        </w:rPr>
        <w:t>[Rozszerzone rozumienie pojęcia usługi w przypadku podmiotu publicznego]</w:t>
      </w:r>
    </w:p>
    <w:p>
      <w:pPr>
        <w:spacing w:after="0"/>
        <w:ind w:left="0"/>
        <w:jc w:val="left"/>
        <w:textAlignment w:val="auto"/>
      </w:pPr>
      <w:r>
        <w:rPr>
          <w:rFonts w:ascii="Times New Roman"/>
          <w:b w:val="false"/>
          <w:i w:val="false"/>
          <w:color w:val="000000"/>
          <w:sz w:val="24"/>
          <w:lang w:val="pl-PL"/>
        </w:rPr>
        <w:t>W przypadku podmiotu publicznego pod pojęciem usługi rozumie się także zadanie publiczne realizowane przez ten podmiot.</w:t>
      </w:r>
    </w:p>
    <w:p>
      <w:pPr>
        <w:spacing w:before="80" w:after="0"/>
        <w:ind w:left="0"/>
        <w:jc w:val="left"/>
        <w:textAlignment w:val="auto"/>
      </w:pPr>
      <w:r>
        <w:rPr>
          <w:rFonts w:ascii="Times New Roman"/>
          <w:b/>
          <w:i w:val="false"/>
          <w:color w:val="000000"/>
          <w:sz w:val="24"/>
          <w:lang w:val="pl-PL"/>
        </w:rPr>
        <w:t xml:space="preserve"> Art. 3. </w:t>
      </w:r>
      <w:r>
        <w:rPr>
          <w:rFonts w:ascii="Times New Roman"/>
          <w:b/>
          <w:i w:val="false"/>
          <w:color w:val="000000"/>
          <w:sz w:val="24"/>
          <w:vertAlign w:val="superscript"/>
          <w:lang w:val="pl-PL"/>
        </w:rPr>
        <w:t>50</w:t>
      </w:r>
      <w:r>
        <w:rPr>
          <w:rFonts w:ascii="Times New Roman"/>
          <w:b/>
          <w:i w:val="false"/>
          <w:color w:val="000000"/>
          <w:sz w:val="24"/>
          <w:lang w:val="pl-PL"/>
        </w:rPr>
        <w:t xml:space="preserve"> </w:t>
      </w:r>
      <w:r>
        <w:rPr>
          <w:rFonts w:ascii="Times New Roman"/>
          <w:b/>
          <w:i w:val="false"/>
          <w:color w:val="000000"/>
          <w:sz w:val="24"/>
          <w:lang w:val="pl-PL"/>
        </w:rPr>
        <w:t>[Cele krajowego systemu cyberbezpieczeństwa]</w:t>
      </w:r>
    </w:p>
    <w:p>
      <w:pPr>
        <w:spacing w:after="0"/>
        <w:ind w:left="0"/>
        <w:jc w:val="left"/>
        <w:textAlignment w:val="auto"/>
      </w:pPr>
      <w:r>
        <w:rPr>
          <w:rFonts w:ascii="Times New Roman"/>
          <w:b w:val="false"/>
          <w:i w:val="false"/>
          <w:color w:val="000000"/>
          <w:sz w:val="24"/>
          <w:lang w:val="pl-PL"/>
        </w:rPr>
        <w:t>Krajowy system cyberbezpieczeństwa ma na celu zapewnienie cyberbezpieczeństwa na poziomie krajowym, w tym niezakłóconego świadczenia usług przez podmioty kluczowe lub podmioty ważne, przez osiągnięcie odpowiedniego poziomu bezpieczeństwa systemów informacyjnych służących do świadczenia tych usług oraz zapewnienie obsługi incydentów.</w:t>
      </w:r>
    </w:p>
    <w:p>
      <w:pPr>
        <w:spacing w:before="80" w:after="0"/>
        <w:ind w:left="0"/>
        <w:jc w:val="left"/>
        <w:textAlignment w:val="auto"/>
      </w:pPr>
      <w:r>
        <w:rPr>
          <w:rFonts w:ascii="Times New Roman"/>
          <w:b/>
          <w:i w:val="false"/>
          <w:color w:val="000000"/>
          <w:sz w:val="24"/>
          <w:lang w:val="pl-PL"/>
        </w:rPr>
        <w:t xml:space="preserve"> Art. 3a. </w:t>
      </w:r>
      <w:r>
        <w:rPr>
          <w:rFonts w:ascii="Times New Roman"/>
          <w:b/>
          <w:i w:val="false"/>
          <w:color w:val="000000"/>
          <w:sz w:val="24"/>
          <w:vertAlign w:val="superscript"/>
          <w:lang w:val="pl-PL"/>
        </w:rPr>
        <w:t>51</w:t>
      </w:r>
      <w:r>
        <w:rPr>
          <w:rFonts w:ascii="Times New Roman"/>
          <w:b/>
          <w:i w:val="false"/>
          <w:color w:val="000000"/>
          <w:sz w:val="24"/>
          <w:lang w:val="pl-PL"/>
        </w:rPr>
        <w:t xml:space="preserve"> </w:t>
      </w:r>
      <w:r>
        <w:rPr>
          <w:rFonts w:ascii="Times New Roman"/>
          <w:b/>
          <w:i w:val="false"/>
          <w:color w:val="000000"/>
          <w:sz w:val="24"/>
          <w:lang w:val="pl-PL"/>
        </w:rPr>
        <w:t>[Działania podejmowane przez podmiot krajowego systemu cyberbezpieczeństwa w ramach obsługi incydentów]</w:t>
      </w:r>
    </w:p>
    <w:p>
      <w:pPr>
        <w:spacing w:after="0"/>
        <w:ind w:left="0"/>
        <w:jc w:val="left"/>
        <w:textAlignment w:val="auto"/>
      </w:pPr>
      <w:r>
        <w:rPr>
          <w:rFonts w:ascii="Times New Roman"/>
          <w:b w:val="false"/>
          <w:i w:val="false"/>
          <w:color w:val="000000"/>
          <w:sz w:val="24"/>
          <w:lang w:val="pl-PL"/>
        </w:rPr>
        <w:t>W ramach obsługi incydentów podmiot krajowego systemu cyberbezpieczeństwa może w szczególności podejmować działania w celu wykrywania źródła lub dokonywania analizy aktywności, w tym ruchu sieciowego, powodujących wystąpienie incydentu zakłócającego świadczenie usług przez ten podmiot.</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[Podmioty objęte krajowym systemem cyberbezpieczeństwa]</w:t>
      </w:r>
    </w:p>
    <w:p>
      <w:pPr>
        <w:spacing w:after="0"/>
        <w:ind w:left="0"/>
        <w:jc w:val="left"/>
        <w:textAlignment w:val="auto"/>
      </w:pPr>
      <w:r>
        <w:rPr>
          <w:rFonts w:ascii="Times New Roman"/>
          <w:b w:val="false"/>
          <w:i w:val="false"/>
          <w:color w:val="000000"/>
          <w:sz w:val="24"/>
          <w:lang w:val="pl-PL"/>
        </w:rPr>
        <w:t>Krajowy system cyberbezpieczeństwa obejmuje: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52</w:t>
      </w:r>
      <w:r>
        <w:rPr>
          <w:rFonts w:ascii="Times New Roman"/>
          <w:b w:val="false"/>
          <w:i w:val="false"/>
          <w:color w:val="000000"/>
          <w:sz w:val="24"/>
          <w:lang w:val="pl-PL"/>
        </w:rPr>
        <w:t xml:space="preserve"> </w:t>
      </w:r>
      <w:r>
        <w:rPr>
          <w:rFonts w:ascii="Times New Roman"/>
          <w:b w:val="false"/>
          <w:i w:val="false"/>
          <w:color w:val="000000"/>
          <w:sz w:val="24"/>
          <w:lang w:val="pl-PL"/>
        </w:rPr>
        <w:t>podmioty kluczowe;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53</w:t>
      </w:r>
      <w:r>
        <w:rPr>
          <w:rFonts w:ascii="Times New Roman"/>
          <w:b w:val="false"/>
          <w:i w:val="false"/>
          <w:color w:val="000000"/>
          <w:sz w:val="24"/>
          <w:lang w:val="pl-PL"/>
        </w:rPr>
        <w:t xml:space="preserve"> </w:t>
      </w:r>
      <w:r>
        <w:rPr>
          <w:rFonts w:ascii="Times New Roman"/>
          <w:b w:val="false"/>
          <w:i w:val="false"/>
          <w:color w:val="000000"/>
          <w:sz w:val="24"/>
          <w:lang w:val="pl-PL"/>
        </w:rPr>
        <w:t>podmioty ważne;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CSIRT MON;</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CSIRT NASK;</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CSIRT GOV;</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54</w:t>
      </w:r>
      <w:r>
        <w:rPr>
          <w:rFonts w:ascii="Times New Roman"/>
          <w:b w:val="false"/>
          <w:i w:val="false"/>
          <w:color w:val="000000"/>
          <w:sz w:val="24"/>
          <w:lang w:val="pl-PL"/>
        </w:rPr>
        <w:t xml:space="preserve"> </w:t>
      </w:r>
      <w:r>
        <w:rPr>
          <w:rFonts w:ascii="Times New Roman"/>
          <w:b w:val="false"/>
          <w:i w:val="false"/>
          <w:color w:val="000000"/>
          <w:sz w:val="24"/>
          <w:lang w:val="pl-PL"/>
        </w:rPr>
        <w:t>CSIRT sektorowe;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55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56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57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58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59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vertAlign w:val="superscript"/>
          <w:lang w:val="pl-PL"/>
        </w:rPr>
        <w:t>60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61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vertAlign w:val="superscript"/>
          <w:lang w:val="pl-PL"/>
        </w:rPr>
        <w:t>62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63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vertAlign w:val="superscript"/>
          <w:lang w:val="pl-PL"/>
        </w:rPr>
        <w:t>64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w:t>
      </w:r>
    </w:p>
    <w:p>
      <w:pPr>
        <w:spacing w:before="26" w:after="0"/>
        <w:ind w:left="373"/>
        <w:jc w:val="left"/>
        <w:textAlignment w:val="auto"/>
      </w:pPr>
      <w:r>
        <w:rPr>
          <w:rFonts w:ascii="Times New Roman"/>
          <w:b w:val="false"/>
          <w:i w:val="false"/>
          <w:color w:val="000000"/>
          <w:sz w:val="24"/>
          <w:lang w:val="pl-PL"/>
        </w:rPr>
        <w:t xml:space="preserve">17a) </w:t>
      </w:r>
      <w:r>
        <w:rPr>
          <w:rFonts w:ascii="Times New Roman"/>
          <w:b w:val="false"/>
          <w:i w:val="false"/>
          <w:color w:val="000000"/>
          <w:sz w:val="24"/>
          <w:vertAlign w:val="superscript"/>
          <w:lang w:val="pl-PL"/>
        </w:rPr>
        <w:t>65</w:t>
      </w:r>
      <w:r>
        <w:rPr>
          <w:rFonts w:ascii="Times New Roman"/>
          <w:b w:val="false"/>
          <w:i w:val="false"/>
          <w:color w:val="000000"/>
          <w:sz w:val="24"/>
          <w:lang w:val="pl-PL"/>
        </w:rPr>
        <w:t xml:space="preserve"> </w:t>
      </w:r>
      <w:r>
        <w:rPr>
          <w:rFonts w:ascii="Times New Roman"/>
          <w:b w:val="false"/>
          <w:i w:val="false"/>
          <w:color w:val="000000"/>
          <w:sz w:val="24"/>
          <w:lang w:val="pl-PL"/>
        </w:rPr>
        <w:t>Połączone Centrum Operacyjne Cyberbezpieczeństwa, zwane dalej "PCOC";</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do spraw cyberbezpieczeństwa, zwany dalej "Pojedynczym Punktem Kontaktowym";</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Pełnomocnika Rządu do Spraw Cyberbezpieczeństwa, zwanego dalej "Pełnomocnikiem";</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Kolegium do Spraw Cyberbezpieczeństwa, zwane dalej "Kolegium".</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 xml:space="preserve">Identyfikacja i rejestracja podmiotów kluczowych lub podmiotów ważnych </w:t>
      </w:r>
      <w:r>
        <w:rPr>
          <w:rFonts w:ascii="Times New Roman"/>
          <w:b/>
          <w:i w:val="false"/>
          <w:color w:val="000000"/>
          <w:sz w:val="24"/>
          <w:vertAlign w:val="superscript"/>
          <w:lang w:val="pl-PL"/>
        </w:rPr>
        <w:t>66</w:t>
      </w:r>
    </w:p>
    <w:p>
      <w:pPr>
        <w:spacing w:before="80" w:after="0"/>
        <w:ind w:left="0"/>
        <w:jc w:val="left"/>
        <w:textAlignment w:val="auto"/>
      </w:pPr>
      <w:r>
        <w:rPr>
          <w:rFonts w:ascii="Times New Roman"/>
          <w:b/>
          <w:i w:val="false"/>
          <w:color w:val="000000"/>
          <w:sz w:val="24"/>
          <w:lang w:val="pl-PL"/>
        </w:rPr>
        <w:t xml:space="preserve"> Art. 5. </w:t>
      </w:r>
      <w:r>
        <w:rPr>
          <w:rFonts w:ascii="Times New Roman"/>
          <w:b/>
          <w:i w:val="false"/>
          <w:color w:val="000000"/>
          <w:sz w:val="24"/>
          <w:vertAlign w:val="superscript"/>
          <w:lang w:val="pl-PL"/>
        </w:rPr>
        <w:t>67</w:t>
      </w:r>
      <w:r>
        <w:rPr>
          <w:rFonts w:ascii="Times New Roman"/>
          <w:b/>
          <w:i w:val="false"/>
          <w:color w:val="000000"/>
          <w:sz w:val="24"/>
          <w:lang w:val="pl-PL"/>
        </w:rPr>
        <w:t xml:space="preserve"> </w:t>
      </w:r>
      <w:r>
        <w:rPr>
          <w:rFonts w:ascii="Times New Roman"/>
          <w:b/>
          <w:i w:val="false"/>
          <w:color w:val="000000"/>
          <w:sz w:val="24"/>
          <w:lang w:val="pl-PL"/>
        </w:rPr>
        <w:t>[Warunki uznania za podmiot kluczowy lub podmiot ważny]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Podmiotem kluczowym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fizyczna, osoba prawna albo jednostka organizacyjna nieposiadająca osobowości prawnej wskazana w załączniku nr 1 do ustawy, która przewyższa wymogi dla średniego przedsiębiorstwa określone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Komisji (UE) nr 651/2014 z dnia 17 czerwca 2014 r. uznającego niektóre rodzaje pomocy za zgodne z rynkiem wewnętrznym w zastosowaniu art. 107 i 108 Traktatu (Dz. Urz. UE L 187 z 26.06.2014, str. 1, z późn. zm.), zwanego dalej "rozporządzeniem 651/2014/UE";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komunikacji elektronicznej, który co najmniej spełnia wymogi dla średniego przedsiębiorcy określone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651/2014/UE lub je przewyższa;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dostawca usług zarządzanych w zakresie cyberbezpieczeństwa, który co najmniej spełnia wymogi dla małego albo średniego przedsiębiorcy określone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651/2014/UE lub je przewyższa;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niezależnie od wielkości podmiotu:</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dostawca usług DNS,</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kwalifikowany dostawca usług zaufania w rozumieniu </w:t>
      </w:r>
      <w:r>
        <w:rPr>
          <w:rFonts w:ascii="Times New Roman"/>
          <w:b w:val="false"/>
          <w:i w:val="false"/>
          <w:color w:val="1b1b1b"/>
          <w:sz w:val="24"/>
          <w:lang w:val="pl-PL"/>
        </w:rPr>
        <w:t>art. 3 pkt 20</w:t>
      </w:r>
      <w:r>
        <w:rPr>
          <w:rFonts w:ascii="Times New Roman"/>
          <w:b w:val="false"/>
          <w:i w:val="false"/>
          <w:color w:val="000000"/>
          <w:sz w:val="24"/>
          <w:lang w:val="pl-PL"/>
        </w:rPr>
        <w:t xml:space="preserve"> rozporządzenia 910/2014,</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podmiot krytyczny,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podmiot publiczny wskazany w załączniku nr 1 do ustawy w sektorze podmioty publiczne,</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podmiot zidentyfikowany jako podmiot kluczowy na podstawie art. 7l ust. 2 pkt 1,</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państwowa osoba prawna zidentyfikowana jako podmiot kluczowy na podstawie art. 7m,</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podmiot, który nie jest przedsiębiorcą, a jest wskazany w załączniku nr 1 do ustawy z nazwy albo przez określenie jego rodzaju,</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będący operatorem obiektu energetyki jądrowej, o którym mowa w </w:t>
      </w:r>
      <w:r>
        <w:rPr>
          <w:rFonts w:ascii="Times New Roman"/>
          <w:b w:val="false"/>
          <w:i w:val="false"/>
          <w:color w:val="1b1b1b"/>
          <w:sz w:val="24"/>
          <w:lang w:val="pl-PL"/>
        </w:rPr>
        <w:t>art. 2 pkt 2</w:t>
      </w:r>
      <w:r>
        <w:rPr>
          <w:rFonts w:ascii="Times New Roman"/>
          <w:b w:val="false"/>
          <w:i w:val="false"/>
          <w:color w:val="000000"/>
          <w:sz w:val="24"/>
          <w:lang w:val="pl-PL"/>
        </w:rPr>
        <w:t xml:space="preserve"> ustawy z dnia 29 czerwca 2011 r. o przygotowaniu i realizacji inwestycji w zakresie obiektów energetyki jądrowej oraz inwestycji towarzyszących (Dz. U. z 2025 r. poz. 1156),</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rejestr nazw domen najwyższego poziomu (TLD),</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podmiot świadczący usługi rejestracji nazw domen.</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Podmiotem ważnym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fizyczna, osoba prawna albo jednostka organizacyjna nieposiadająca osobowości prawnej wskazana w załączniku nr 1 do ustawy, która spełnia wymogi dla średniego przedsiębiorcy określone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 oraz która nie jest podmiotem kluczowym;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fizyczna, osoba prawna albo jednostka organizacyjna nieposiadająca osobowości prawnej wskazana w załączniku nr 2 do ustawy, która spełnia wymogi dla średniego przedsiębiorcy określone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 lub przewyższa te wymogi oraz która nie jest podmiotem kluczowym;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niekwalifikowany dostawca usług zaufania będący mikro-, małym lub średnim przedsiębiorcą, o którym mowa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komunikacji elektronicznej będący mikro- lub małym przedsiębiorcą, o którym mowa w </w:t>
      </w:r>
      <w:r>
        <w:rPr>
          <w:rFonts w:ascii="Times New Roman"/>
          <w:b w:val="false"/>
          <w:i w:val="false"/>
          <w:color w:val="1b1b1b"/>
          <w:sz w:val="24"/>
          <w:lang w:val="pl-PL"/>
        </w:rPr>
        <w:t>art. 2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będący inwestorem obiektu energetyki jądrowej, o którym mowa w </w:t>
      </w:r>
      <w:r>
        <w:rPr>
          <w:rFonts w:ascii="Times New Roman"/>
          <w:b w:val="false"/>
          <w:i w:val="false"/>
          <w:color w:val="1b1b1b"/>
          <w:sz w:val="24"/>
          <w:lang w:val="pl-PL"/>
        </w:rPr>
        <w:t>art. 2 pkt 2</w:t>
      </w:r>
      <w:r>
        <w:rPr>
          <w:rFonts w:ascii="Times New Roman"/>
          <w:b w:val="false"/>
          <w:i w:val="false"/>
          <w:color w:val="000000"/>
          <w:sz w:val="24"/>
          <w:lang w:val="pl-PL"/>
        </w:rPr>
        <w:t xml:space="preserve"> ustawy z dnia 29 czerwca 2011 r. o przygotowaniu i realizacji inwestycji w zakresie obiektów energetyki jądrowej oraz inwestycji towarzyszących, który uzyskał decyzję zasadniczą, o której mowa w </w:t>
      </w:r>
      <w:r>
        <w:rPr>
          <w:rFonts w:ascii="Times New Roman"/>
          <w:b w:val="false"/>
          <w:i w:val="false"/>
          <w:color w:val="1b1b1b"/>
          <w:sz w:val="24"/>
          <w:lang w:val="pl-PL"/>
        </w:rPr>
        <w:t>art. 3a ust. 1</w:t>
      </w:r>
      <w:r>
        <w:rPr>
          <w:rFonts w:ascii="Times New Roman"/>
          <w:b w:val="false"/>
          <w:i w:val="false"/>
          <w:color w:val="000000"/>
          <w:sz w:val="24"/>
          <w:lang w:val="pl-PL"/>
        </w:rPr>
        <w:t xml:space="preserve"> tej ustawy - niezależnie od jego wielkości;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 zidentyfikowany jako podmiot ważny na podstawie art. 7l ust. 2 pkt 2;</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podmiot, który nie jest przedsiębiorcą, a jest wskazany w załączniku nr 2 do ustawy z nazwy albo przez określenie jego rodzaju;</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publiczny, który nie jest podmiotem kluczowym oraz jest samorządową jednostką budżetową, samorządowym zakładem budżetowym, samorządową instytucją kultury albo spółką wykonującą zadania o charakterze użyteczności publicznej w rozumieniu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20 grudnia 1996 r. o gospodarce komunalnej (Dz. U. z 2021 r. poz. 679), jeżeli realizuje zadanie publiczne z wykorzystaniem systemów informacyjnych.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określaniu wymogów dla podmiotów, o których mowa w ust. 1 pkt 1-3, ust. 2 pkt 1-4, nie stosuje się przepisu </w:t>
      </w:r>
      <w:r>
        <w:rPr>
          <w:rFonts w:ascii="Times New Roman"/>
          <w:b w:val="false"/>
          <w:i w:val="false"/>
          <w:color w:val="1b1b1b"/>
          <w:sz w:val="24"/>
          <w:lang w:val="pl-PL"/>
        </w:rPr>
        <w:t>art. 3 ust. 4</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podmiot, o którym mowa w ust. 1, spełnia wymogi zarówno dla podmiotu kluczowego, jak i dla podmiotu ważnego, to jest podmiotem kluczowym.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status podmiotu kluczowego lub podmiotu ważnego zależy od wielkości podmiotu, to przesłanki uznania za podmiot kluczowy lub podmiot ważny bada się według stanu na dzień sporządzenia sprawozdania finansowego.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podmiot spełnia wymogi do uznania za podmiot kluczowy, ponieważ przewyższa kryteria dla średniego przedsiębiorstwa zgodnie z </w:t>
      </w:r>
      <w:r>
        <w:rPr>
          <w:rFonts w:ascii="Times New Roman"/>
          <w:b w:val="false"/>
          <w:i w:val="false"/>
          <w:color w:val="1b1b1b"/>
          <w:sz w:val="24"/>
          <w:lang w:val="pl-PL"/>
        </w:rPr>
        <w:t>art. 6 ust. 2-4</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 ale jego system informacyjny jest niezależny od systemów informacyjnych jego przedsiębiorstw powiązanych lub przedsiębiorstw partnerskich lub nie świadczy on usług wspólnie z jego przedsiębiorstwami powiązanymi lub przedsiębiorstwami partnerskimi, to nie jest podmiotem kluczowym.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podmiot spełnia wymogi do uznania za podmiot ważny, ponieważ spełnia kryteria dla średniego przedsiębiorstwa zgodnie z </w:t>
      </w:r>
      <w:r>
        <w:rPr>
          <w:rFonts w:ascii="Times New Roman"/>
          <w:b w:val="false"/>
          <w:i w:val="false"/>
          <w:color w:val="1b1b1b"/>
          <w:sz w:val="24"/>
          <w:lang w:val="pl-PL"/>
        </w:rPr>
        <w:t>art. 6 ust. 2-4</w:t>
      </w:r>
      <w:r>
        <w:rPr>
          <w:rFonts w:ascii="Times New Roman"/>
          <w:b w:val="false"/>
          <w:i w:val="false"/>
          <w:color w:val="000000"/>
          <w:sz w:val="24"/>
          <w:lang w:val="pl-PL"/>
        </w:rPr>
        <w:t xml:space="preserve"> załącznika I do </w:t>
      </w:r>
      <w:r>
        <w:rPr>
          <w:rFonts w:ascii="Times New Roman"/>
          <w:b w:val="false"/>
          <w:i w:val="false"/>
          <w:color w:val="1b1b1b"/>
          <w:sz w:val="24"/>
          <w:lang w:val="pl-PL"/>
        </w:rPr>
        <w:t>rozporządzenia</w:t>
      </w:r>
      <w:r>
        <w:rPr>
          <w:rFonts w:ascii="Times New Roman"/>
          <w:b w:val="false"/>
          <w:i w:val="false"/>
          <w:color w:val="000000"/>
          <w:sz w:val="24"/>
          <w:lang w:val="pl-PL"/>
        </w:rPr>
        <w:t xml:space="preserve"> 651/2014/UE, ale jego system informacyjny jest niezależny od systemów informacyjnych jego przedsiębiorstw powiązanych lub przedsiębiorstw partnerskich lub nie świadczy on usług wspólnie z jego przedsiębiorstwami powiązanymi lub przedsiębiorstwami partnerskimi, to nie jest podmiotem ważnym.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Podmiot leczniczy, który nie jest przedsiębiorcą: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jest podmiotem ważnym, jeżeli zatrudnia od 50 do 249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jest podmiotem kluczowym, jeżeli zatrudnia co najmniej 250 osób.</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Podmiot, o którym mowa w ust. 1 pkt 4 lit. h, staje się podmiotem kluczowym z dniem: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uzyskania zezwolenia na eksploatację, o której mowa w </w:t>
      </w:r>
      <w:r>
        <w:rPr>
          <w:rFonts w:ascii="Times New Roman"/>
          <w:b w:val="false"/>
          <w:i w:val="false"/>
          <w:color w:val="1b1b1b"/>
          <w:sz w:val="24"/>
          <w:lang w:val="pl-PL"/>
        </w:rPr>
        <w:t>art. 4 ust. 1 pkt 3</w:t>
      </w:r>
      <w:r>
        <w:rPr>
          <w:rFonts w:ascii="Times New Roman"/>
          <w:b w:val="false"/>
          <w:i w:val="false"/>
          <w:color w:val="000000"/>
          <w:sz w:val="24"/>
          <w:lang w:val="pl-PL"/>
        </w:rPr>
        <w:t xml:space="preserve"> ustawy z dnia 29 listopada 2000 r. - Prawo atomowe (Dz. U. z 2026 r. poz. 1) - w przypadku operatora składowiska odpadów promieniotwórczych;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uzyskania zezwolenia na eksploatację, o której mowa w </w:t>
      </w:r>
      <w:r>
        <w:rPr>
          <w:rFonts w:ascii="Times New Roman"/>
          <w:b w:val="false"/>
          <w:i w:val="false"/>
          <w:color w:val="1b1b1b"/>
          <w:sz w:val="24"/>
          <w:lang w:val="pl-PL"/>
        </w:rPr>
        <w:t>art. 4 ust. 1 pkt 2</w:t>
      </w:r>
      <w:r>
        <w:rPr>
          <w:rFonts w:ascii="Times New Roman"/>
          <w:b w:val="false"/>
          <w:i w:val="false"/>
          <w:color w:val="000000"/>
          <w:sz w:val="24"/>
          <w:lang w:val="pl-PL"/>
        </w:rPr>
        <w:t xml:space="preserve"> ustawy z dnia 29 listopada 2000 r. - Prawo atomowe, lub uzyskania koncesji na wytwarzanie energii elektrycznej lub ciepła, o których mowa w </w:t>
      </w:r>
      <w:r>
        <w:rPr>
          <w:rFonts w:ascii="Times New Roman"/>
          <w:b w:val="false"/>
          <w:i w:val="false"/>
          <w:color w:val="1b1b1b"/>
          <w:sz w:val="24"/>
          <w:lang w:val="pl-PL"/>
        </w:rPr>
        <w:t>art. 32 ust. 1 pkt 1</w:t>
      </w:r>
      <w:r>
        <w:rPr>
          <w:rFonts w:ascii="Times New Roman"/>
          <w:b w:val="false"/>
          <w:i w:val="false"/>
          <w:color w:val="000000"/>
          <w:sz w:val="24"/>
          <w:lang w:val="pl-PL"/>
        </w:rPr>
        <w:t xml:space="preserve"> ustawy z dnia 10 kwietnia 1997 r. - Prawo energetyczne (Dz. U. z 2026 r. poz. 43), w zależności od tego, które zostanie uzyskane pierwsze - w przypadku operatora elektrowni jądrowej;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uzyskania zezwolenia na eksploatację, o której mowa w </w:t>
      </w:r>
      <w:r>
        <w:rPr>
          <w:rFonts w:ascii="Times New Roman"/>
          <w:b w:val="false"/>
          <w:i w:val="false"/>
          <w:color w:val="1b1b1b"/>
          <w:sz w:val="24"/>
          <w:lang w:val="pl-PL"/>
        </w:rPr>
        <w:t>art. 4 ust. 1 pkt 2</w:t>
      </w:r>
      <w:r>
        <w:rPr>
          <w:rFonts w:ascii="Times New Roman"/>
          <w:b w:val="false"/>
          <w:i w:val="false"/>
          <w:color w:val="000000"/>
          <w:sz w:val="24"/>
          <w:lang w:val="pl-PL"/>
        </w:rPr>
        <w:t xml:space="preserve"> ustawy z dnia 29 listopada 2000 r. - Prawo atomowe, lub uzyskania koncesji na wydobywanie kopalin, o której mowa w </w:t>
      </w:r>
      <w:r>
        <w:rPr>
          <w:rFonts w:ascii="Times New Roman"/>
          <w:b w:val="false"/>
          <w:i w:val="false"/>
          <w:color w:val="1b1b1b"/>
          <w:sz w:val="24"/>
          <w:lang w:val="pl-PL"/>
        </w:rPr>
        <w:t>art. 22 ust. 1 pkt 2</w:t>
      </w:r>
      <w:r>
        <w:rPr>
          <w:rFonts w:ascii="Times New Roman"/>
          <w:b w:val="false"/>
          <w:i w:val="false"/>
          <w:color w:val="000000"/>
          <w:sz w:val="24"/>
          <w:lang w:val="pl-PL"/>
        </w:rPr>
        <w:t xml:space="preserve"> ustawy z dnia 9 czerwca 2011 r. - Prawo geologiczne i górnicze (Dz. U. z 2026 r. poz. 69), w zależności od tego, które zostanie uzyskane pierwsze - w przypadku operatora zakładu do wydobywania rud uranu i toru ze złóż i do ich wstępnego przetwarzania;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uzyskania zezwolenia na eksploatację, o której mowa w </w:t>
      </w:r>
      <w:r>
        <w:rPr>
          <w:rFonts w:ascii="Times New Roman"/>
          <w:b w:val="false"/>
          <w:i w:val="false"/>
          <w:color w:val="1b1b1b"/>
          <w:sz w:val="24"/>
          <w:lang w:val="pl-PL"/>
        </w:rPr>
        <w:t>art. 4 ust. 1 pkt 2</w:t>
      </w:r>
      <w:r>
        <w:rPr>
          <w:rFonts w:ascii="Times New Roman"/>
          <w:b w:val="false"/>
          <w:i w:val="false"/>
          <w:color w:val="000000"/>
          <w:sz w:val="24"/>
          <w:lang w:val="pl-PL"/>
        </w:rPr>
        <w:t xml:space="preserve"> ustawy z dnia 29 listopada 2000 r. - Prawo atomowe - w przypadku operatorów pozostałych obiektów energetyki jądrowej.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podmiotów kluczowych lub podmiotów ważnych nie zalicza się służb specjalnych w rozumieniu </w:t>
      </w:r>
      <w:r>
        <w:rPr>
          <w:rFonts w:ascii="Times New Roman"/>
          <w:b w:val="false"/>
          <w:i w:val="false"/>
          <w:color w:val="1b1b1b"/>
          <w:sz w:val="24"/>
          <w:lang w:val="pl-PL"/>
        </w:rPr>
        <w:t>art. 11</w:t>
      </w:r>
      <w:r>
        <w:rPr>
          <w:rFonts w:ascii="Times New Roman"/>
          <w:b w:val="false"/>
          <w:i w:val="false"/>
          <w:color w:val="000000"/>
          <w:sz w:val="24"/>
          <w:lang w:val="pl-PL"/>
        </w:rPr>
        <w:t xml:space="preserve"> ustawy z dnia 24 maja 2002 r. o Agencji Bezpieczeństwa Wewnętrznego oraz Agencji Wywiadu (Dz. U. z 2025 r. poz. 902 i 1366 oraz z 2026 r. poz. 26), a także podmiotów podległych lub nadzorowanych przez Ministra Obrony Narodowej.</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Minister Obrony Narodowej wskaże, w drodze decyzji niepodlegającej ogłoszeniu, jednostki jemu podległe lub przez niego nadzorowane, które uznaje się za podmioty kluczowe lub podmioty ważne, oraz określi sektor lub sektory, a także w razie potrzeby podsektor, do jakiego przypisuje dany podmiot.</w:t>
      </w:r>
    </w:p>
    <w:p>
      <w:pPr>
        <w:spacing w:before="80" w:after="0"/>
        <w:ind w:left="0"/>
        <w:jc w:val="left"/>
        <w:textAlignment w:val="auto"/>
      </w:pPr>
      <w:r>
        <w:rPr>
          <w:rFonts w:ascii="Times New Roman"/>
          <w:b/>
          <w:i w:val="false"/>
          <w:color w:val="000000"/>
          <w:sz w:val="24"/>
          <w:lang w:val="pl-PL"/>
        </w:rPr>
        <w:t xml:space="preserve"> Art. 5a. </w:t>
      </w:r>
      <w:r>
        <w:rPr>
          <w:rFonts w:ascii="Times New Roman"/>
          <w:b/>
          <w:i w:val="false"/>
          <w:color w:val="000000"/>
          <w:sz w:val="24"/>
          <w:vertAlign w:val="superscript"/>
          <w:lang w:val="pl-PL"/>
        </w:rPr>
        <w:t>68</w:t>
      </w:r>
      <w:r>
        <w:rPr>
          <w:rFonts w:ascii="Times New Roman"/>
          <w:b/>
          <w:i w:val="false"/>
          <w:color w:val="000000"/>
          <w:sz w:val="24"/>
          <w:lang w:val="pl-PL"/>
        </w:rPr>
        <w:t xml:space="preserve"> </w:t>
      </w:r>
      <w:r>
        <w:rPr>
          <w:rFonts w:ascii="Times New Roman"/>
          <w:b/>
          <w:i w:val="false"/>
          <w:color w:val="000000"/>
          <w:sz w:val="24"/>
          <w:lang w:val="pl-PL"/>
        </w:rPr>
        <w:t>[Warunek posiadania miejsca zamieszkania lub prowadzenia działalności w RP]</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podlegają obowiązkom wynikającym z ustawy, jeżeli mają miejsce zamieszkania na terytorium Rzeczypospolitej Polskiej lub prowadzą działalność na terytorium Rzeczypospolitej Polskiej przez swoje siedziby, oddziały lub w ramach działalności transgranicznej.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komunikacji elektronicznej podlega obowiązkom wynikającym z ustawy, jeżeli świadczy usługi na terytorium Rzeczypospolitej Polskiej.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Dostawca usług DNS, rejestr nazw domen najwyższego poziomu (TLD), podmiot świadczący usługi rejestracji nazw domen, dostawca chmury obliczeniowej, dostawca usługi centrum przetwarzania danych, dostawca sieci dostarczania treści, dostawca usług zarządzanych, dostawca usług zarządzanych w zakresie cyberbezpieczeństwa, dostawca internetowej platformy handlowej, dostawca wyszukiwarki internetowej oraz dostawca platformy usług sieci społecznościowych świadczący usługi na terytorium Rzeczypospolitej Polskiej podlega obowiązkom wynikającym z ustawy, jeżeli Rzeczpospolita Polska jest głównym miejscem prowadzenia działalności przez ten podmiot.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Głównym miejscem prowadzenia działalności jest państwo członkowskie Unii Europejskiej, w którym ma siedzibę kierownik podmiotu podejmujący decyzje w sprawie systemu zarządzania bezpieczeństwem informacji, o którym mowa w art. 8 ust. 1.</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gdy nie można ustalić, czy kierownik podmiotu podejmujący decyzje w sprawie systemu zarządzania bezpieczeństwem informacji ma siedzibę w państwie członkowskim Unii Europejskiej, to głównym miejscem prowadzenia działalności jest państwo członkowskie Unii Europejskiej, w którym są realizowane zadania związane z systemem zarządzania bezpieczeństwem informacji, o których mowa w art. 8 ust. 1.</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gdy informacji, o której mowa w ust. 5, również nie można ustalić, to głównym miejscem prowadzenia działalności jest państwo członkowskie Unii Europejskiej, w którym podmiot, o którym mowa w ust. 3, ma największą liczbę osób zatrudnionych w odniesieniu do innych państw członkowskich Unii Europejskiej.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Podmiot, o którym mowa w ust. 3, który nie posiada jednostki organizacyjnej w jednym z państw członkowskich Unii Europejskiej, ale oferuje swoje usługi na terytorium Rzeczypospolitej Polskiej, wyznacza przedstawiciela posiadającego jednostkę organizacyjną na terytorium Rzeczypospolitej Polskiej, o ile nie wyznaczył przedstawiciela posiadającego jednostkę organizacyjną w innym państwie członkowskim Unii Europejskiej.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Przedstawicielem, o którym mowa w ust. 7, może być osoba fizyczna, osoba prawna albo jednostka organizacyjna nieposiadająca osobowości prawnej, ustanowiona na terytorium Rzeczypospolitej Polskiej lub w innym państwie członkowskim Unii Europejskiej, wyznaczona do występowania w imieniu podmiotu wskazanego w ust. 1, który nie posiada jednostki organizacyjnej w jednym z państw członkowskich Unii Europejskiej, do którego organ właściwy do spraw cyberbezpieczeństwa, CSIRT MON, CSIRT NASK, CSIRT GOV lub CSIRT sektorowy może się zwrócić w związku z obowiązkami podmiotu wynikającymi z ustawy.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Podmiot, o którym mowa w ust. 3, który nie posiada jednostki organizacyjnej w jednym z państw członkowskich Unii Europejskiej, ale oferuje swoje usługi na terytorium Rzeczypospolitej Polskiej, podlega właściwości polskiego organu właściwego do spraw cyberbezpieczeństwa, jeżeli wyznaczył przedstawiciela posiadającego jednostkę organizacyjną na terytorium Rzeczypospolitej Polskiej.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Ustawę stosuje się do podmiotów publicznych niezależnie od miejsca ich siedziby.</w:t>
      </w:r>
    </w:p>
    <w:p>
      <w:pPr>
        <w:spacing w:before="80" w:after="0"/>
        <w:ind w:left="0"/>
        <w:jc w:val="left"/>
        <w:textAlignment w:val="auto"/>
      </w:pPr>
      <w:r>
        <w:rPr>
          <w:rFonts w:ascii="Times New Roman"/>
          <w:b/>
          <w:i w:val="false"/>
          <w:color w:val="000000"/>
          <w:sz w:val="24"/>
          <w:lang w:val="pl-PL"/>
        </w:rPr>
        <w:t xml:space="preserve"> Art. 6. </w:t>
      </w:r>
      <w:r>
        <w:rPr>
          <w:rFonts w:ascii="Times New Roman"/>
          <w:b/>
          <w:i w:val="false"/>
          <w:color w:val="000000"/>
          <w:sz w:val="24"/>
          <w:vertAlign w:val="superscript"/>
          <w:lang w:val="pl-PL"/>
        </w:rPr>
        <w:t>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 </w:t>
      </w:r>
      <w:r>
        <w:rPr>
          <w:rFonts w:ascii="Times New Roman"/>
          <w:b/>
          <w:i w:val="false"/>
          <w:color w:val="000000"/>
          <w:sz w:val="24"/>
          <w:vertAlign w:val="superscript"/>
          <w:lang w:val="pl-PL"/>
        </w:rPr>
        <w:t>70</w:t>
      </w:r>
      <w:r>
        <w:rPr>
          <w:rFonts w:ascii="Times New Roman"/>
          <w:b/>
          <w:i w:val="false"/>
          <w:color w:val="000000"/>
          <w:sz w:val="24"/>
          <w:lang w:val="pl-PL"/>
        </w:rPr>
        <w:t xml:space="preserve"> </w:t>
      </w:r>
      <w:r>
        <w:rPr>
          <w:rFonts w:ascii="Times New Roman"/>
          <w:b/>
          <w:i w:val="false"/>
          <w:color w:val="000000"/>
          <w:sz w:val="24"/>
          <w:lang w:val="pl-PL"/>
        </w:rPr>
        <w:t>[Wykaz podmiotów kluczowych i podmiotów ważnych]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Wykaz podmiotów kluczowych i podmiotów ważnych, zwany dalej "wykazem", jest prowadzony w celu: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identyfikacji podmiotów kluczowych i podmiotów ważnych;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zapewnienia wymiany informacji w zakresie cyberbezpieczeństwa, w tym o incydentach, podatnościach i cyberzagrożeniach między podmiotami kluczowymi i podmiotami ważnymi a CSIRT MON, CSIRT NASK, CSIRT GOV, CSIRT sektorowymi i organami właściwymi do spraw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umożliwienia prowadzenia czynności nadzorczych nad podmiotami kluczowymi i podmiotami ważnymi.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Wykaz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(firmę) podmiotu kluczowego lub podmiotu ważnego;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sektor, podsektor i rodzaj lub rodzaje podmiotu, zgodnie z załącznikiem nr 1 lub 2 do ustawy;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adres siedziby i adres do korespondencji;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adres do doręczeń elektronicznych, jeżeli został wpisany do bazy adresów elektronicznych;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adres poczty elektronicznej;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numer identyfikacji podatkowej (NIP), jeżeli został nadany;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numer identyfikacyjny podmiotu publicznego w krajowym rejestrze urzędowym podmiotów gospodarki narodowej (REGON), jeżeli został nadany;</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numer we właściwym rejestrze działalności regulowanej, jeżeli został nadany;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zakres publicznych adresów IP wykorzystywanych przez podmiot kluczowy lub podmiot ważny w sposób ciągły;</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domeny internetowe wykorzystywane przez podmiot kluczowy lub podmiot ważny w sposób ciągły;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osób do kontaktu z podmiotami z krajowego systemu cyberbezpieczeństwa zawierające: imię i nazwisko, numer telefonu służbowego oraz adres służbowej poczty elektronicznej, a w przypadku osoby, która będzie pełnić rolę administratora konta podmiotu w systemie teleinformatycznym, o którym mowa w art. 46 ust. 1, dodatkowo numer PESEL lub niepowtarzalny identyfikator środka identyfikacji elektronicznej, o którym mowa w aktach wykonawczych Komisji Europejskiej, wydanych na podstawie </w:t>
      </w:r>
      <w:r>
        <w:rPr>
          <w:rFonts w:ascii="Times New Roman"/>
          <w:b w:val="false"/>
          <w:i w:val="false"/>
          <w:color w:val="1b1b1b"/>
          <w:sz w:val="24"/>
          <w:lang w:val="pl-PL"/>
        </w:rPr>
        <w:t>art. 12 ust. 8</w:t>
      </w:r>
      <w:r>
        <w:rPr>
          <w:rFonts w:ascii="Times New Roman"/>
          <w:b w:val="false"/>
          <w:i w:val="false"/>
          <w:color w:val="000000"/>
          <w:sz w:val="24"/>
          <w:lang w:val="pl-PL"/>
        </w:rPr>
        <w:t xml:space="preserve"> rozporządzenia 910/2014;</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numer telefonu przyporządkowany do wykonywanej działalności;</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deklarację podmiotu kluczowego lub podmiotu ważnego, czy spełnia kryteria mikroprzedsiębiorcy, małego przedsiębiorcy, średniego przedsiębiorcy, o którym mowa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651/2014/UE, albo przekracza te kryteria, a w przypadku podmiotu leczniczego, który nie jest przedsiębiorcą, oraz urzędu gminy - deklarację wskazującą liczbę osób zatrudnionych według stanu na dzień sporządzenia sprawozdania finansowego;</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informację określającą, w których państwach członkowskich Unii Europejskiej podmiot kluczowy lub podmiot ważny wykonuje działalność, wraz z określeniem rodzaju wykonywanej działalności;</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 przypadku dostawcy usług DNS, rejestru nazw domen najwyższego poziomu (TLD), podmiotu świadczącego usługi rejestracji nazw domen, dostawcy chmury obliczeniowej, dostawcy usługi centrum przetwarzania danych, dostawcy sieci dostarczania treści, dostawcy usług zarządzanych, dostawcy usług zarządzanych w zakresie cyberbezpieczeństwa, dostawcy internetowej platformy handlowej, dostawcy wyszukiwarki internetowej oraz dostawcy platformy usług sieci społecznościowych - główne miejsce prowadzenia działalności ustalone zgodnie z art. 5a ust. 3-6;</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informację o zawarciu umowy z dostawcą usług zarządzanych w zakresie cyberbezpieczeństwa na realizację zadań, o których mowa w art. 8 i art. 11, wraz z danymi tego dostawcy zawierającymi nazwę (firmę) dostawcy, adres siedziby, adres do korespondencji, numer telefonu, adres poczty elektronicznej;</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informację o ustanowieniu przedstawiciela podmiotu kluczowego lub podmiotu ważnego, o którym mowa w art. 5a ust. 7, wraz z danymi kontaktowymi do tego przedstawiciela obejmujące: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 przypadku osób fizycznych: imię i nazwisko, adres do korespondencji, numer telefonu służbowego oraz adres służbowej poczty elektronicznej,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 przypadku osób prawnych i jednostek organizacyjnych nieposiadających osobowości prawnej: nazwę (firmę) przedstawiciela, adres siedziby, adres do korespondencji, numer telefonu oraz adres poczty elektronicznej;</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informację o zawarciu przez podmiot kluczowy lub podmiot ważny porozumienia, o którym mowa w art. 8h ust. 6;</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informację o uznaniu podmiotu kluczowego lub podmiotu ważnego za podmiot krytyczny;</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wskazanie organu właściwego do spraw cyberbezpieczeństwa dla podmiotu kluczowego lub podmiotu ważnego;</w:t>
      </w:r>
    </w:p>
    <w:p>
      <w:pPr>
        <w:spacing w:before="26" w:after="0"/>
        <w:ind w:left="373"/>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wskazanie CSIRT sektorowego właściwego dla podmiotu kluczowego lub podmiotu ważnego;</w:t>
      </w:r>
    </w:p>
    <w:p>
      <w:pPr>
        <w:spacing w:before="26" w:after="0"/>
        <w:ind w:left="373"/>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wskazanie CSIRT MON, CSIRT NASK lub CSIRT GOV właściwego dla podmiotu kluczowego lub podmiotu ważnego;</w:t>
      </w:r>
    </w:p>
    <w:p>
      <w:pPr>
        <w:spacing w:before="26" w:after="0"/>
        <w:ind w:left="373"/>
        <w:jc w:val="left"/>
        <w:textAlignment w:val="auto"/>
      </w:pPr>
      <w:r>
        <w:rPr>
          <w:rFonts w:ascii="Times New Roman"/>
          <w:b w:val="false"/>
          <w:i w:val="false"/>
          <w:color w:val="000000"/>
          <w:sz w:val="24"/>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numer w wykazie;</w:t>
      </w:r>
    </w:p>
    <w:p>
      <w:pPr>
        <w:spacing w:before="26" w:after="0"/>
        <w:ind w:left="373"/>
        <w:jc w:val="left"/>
        <w:textAlignment w:val="auto"/>
      </w:pPr>
      <w:r>
        <w:rPr>
          <w:rFonts w:ascii="Times New Roman"/>
          <w:b w:val="false"/>
          <w:i w:val="false"/>
          <w:color w:val="000000"/>
          <w:sz w:val="24"/>
          <w:lang w:val="pl-PL"/>
        </w:rPr>
        <w:t>24)</w:t>
      </w:r>
      <w:r>
        <w:rPr>
          <w:rFonts w:ascii="Times New Roman"/>
          <w:b w:val="false"/>
          <w:i w:val="false"/>
          <w:color w:val="000000"/>
          <w:sz w:val="24"/>
          <w:lang w:val="pl-PL"/>
        </w:rPr>
        <w:t xml:space="preserve"> </w:t>
      </w:r>
      <w:r>
        <w:rPr>
          <w:rFonts w:ascii="Times New Roman"/>
          <w:b w:val="false"/>
          <w:i w:val="false"/>
          <w:color w:val="000000"/>
          <w:sz w:val="24"/>
          <w:lang w:val="pl-PL"/>
        </w:rPr>
        <w:t>datę wpisu do wykazu;</w:t>
      </w:r>
    </w:p>
    <w:p>
      <w:pPr>
        <w:spacing w:before="26" w:after="0"/>
        <w:ind w:left="373"/>
        <w:jc w:val="left"/>
        <w:textAlignment w:val="auto"/>
      </w:pPr>
      <w:r>
        <w:rPr>
          <w:rFonts w:ascii="Times New Roman"/>
          <w:b w:val="false"/>
          <w:i w:val="false"/>
          <w:color w:val="000000"/>
          <w:sz w:val="24"/>
          <w:lang w:val="pl-PL"/>
        </w:rPr>
        <w:t>25)</w:t>
      </w:r>
      <w:r>
        <w:rPr>
          <w:rFonts w:ascii="Times New Roman"/>
          <w:b w:val="false"/>
          <w:i w:val="false"/>
          <w:color w:val="000000"/>
          <w:sz w:val="24"/>
          <w:lang w:val="pl-PL"/>
        </w:rPr>
        <w:t xml:space="preserve"> </w:t>
      </w:r>
      <w:r>
        <w:rPr>
          <w:rFonts w:ascii="Times New Roman"/>
          <w:b w:val="false"/>
          <w:i w:val="false"/>
          <w:color w:val="000000"/>
          <w:sz w:val="24"/>
          <w:lang w:val="pl-PL"/>
        </w:rPr>
        <w:t>podstawę prawną wpisania do wykazu;</w:t>
      </w:r>
    </w:p>
    <w:p>
      <w:pPr>
        <w:spacing w:before="26" w:after="0"/>
        <w:ind w:left="373"/>
        <w:jc w:val="left"/>
        <w:textAlignment w:val="auto"/>
      </w:pPr>
      <w:r>
        <w:rPr>
          <w:rFonts w:ascii="Times New Roman"/>
          <w:b w:val="false"/>
          <w:i w:val="false"/>
          <w:color w:val="000000"/>
          <w:sz w:val="24"/>
          <w:lang w:val="pl-PL"/>
        </w:rPr>
        <w:t>26)</w:t>
      </w:r>
      <w:r>
        <w:rPr>
          <w:rFonts w:ascii="Times New Roman"/>
          <w:b w:val="false"/>
          <w:i w:val="false"/>
          <w:color w:val="000000"/>
          <w:sz w:val="24"/>
          <w:lang w:val="pl-PL"/>
        </w:rPr>
        <w:t xml:space="preserve"> </w:t>
      </w:r>
      <w:r>
        <w:rPr>
          <w:rFonts w:ascii="Times New Roman"/>
          <w:b w:val="false"/>
          <w:i w:val="false"/>
          <w:color w:val="000000"/>
          <w:sz w:val="24"/>
          <w:lang w:val="pl-PL"/>
        </w:rPr>
        <w:t>datę wykreślenia z wykazu.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danych, o których mowa w ust. 2,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o dostępie do informacji publicznej (Dz. U. z 2022 r. poz. 902 oraz z 2025 r. poz. 1844) oraz </w:t>
      </w:r>
      <w:r>
        <w:rPr>
          <w:rFonts w:ascii="Times New Roman"/>
          <w:b w:val="false"/>
          <w:i w:val="false"/>
          <w:color w:val="1b1b1b"/>
          <w:sz w:val="24"/>
          <w:lang w:val="pl-PL"/>
        </w:rPr>
        <w:t>ustawy</w:t>
      </w:r>
      <w:r>
        <w:rPr>
          <w:rFonts w:ascii="Times New Roman"/>
          <w:b w:val="false"/>
          <w:i w:val="false"/>
          <w:color w:val="000000"/>
          <w:sz w:val="24"/>
          <w:lang w:val="pl-PL"/>
        </w:rPr>
        <w:t xml:space="preserve"> z dnia 11 sierpnia 2021 r. o otwartych danych i ponownym wykorzystywaniu informacji sektora publicznego (Dz. U. z 2023 r. poz. 1524).</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prowadzi wykaz w zakresie nadzorowanego sektora i w tym zakresie jest administratorem danych zawartych w wykazie.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może wpisać podmiot do wykazu zgodnie z art. 7j i art. 7l ust. 6;</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wykreśla podmiot z wykazu zgodnie z art. 7f ust. 2;</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może dokonać czynności sprawdzających, o których mowa w art. 7k.</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zapewnia rozwój lub utrzymanie systemu teleinformatycznego, o którym mowa w art. 46 ust. 1, za pomocą którego wykaz jest prowadzony.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jest współadministratorem danych, w tym danych osobowych, gromadzonych w wykazie.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podejmuje czynności, o których mowa w art. 7a, art. 7b ust. 1 i 2, art. 7d ust. 6, art. 7e, art. 7f ust. 1, art. 7g ust. 1 i 2, art. 7i oraz art. 7m.</w:t>
      </w:r>
    </w:p>
    <w:p>
      <w:pPr>
        <w:spacing w:before="80" w:after="0"/>
        <w:ind w:left="0"/>
        <w:jc w:val="left"/>
        <w:textAlignment w:val="auto"/>
      </w:pPr>
      <w:r>
        <w:rPr>
          <w:rFonts w:ascii="Times New Roman"/>
          <w:b/>
          <w:i w:val="false"/>
          <w:color w:val="000000"/>
          <w:sz w:val="24"/>
          <w:lang w:val="pl-PL"/>
        </w:rPr>
        <w:t xml:space="preserve"> Art. 7a. </w:t>
      </w:r>
      <w:r>
        <w:rPr>
          <w:rFonts w:ascii="Times New Roman"/>
          <w:b/>
          <w:i w:val="false"/>
          <w:color w:val="000000"/>
          <w:sz w:val="24"/>
          <w:vertAlign w:val="superscript"/>
          <w:lang w:val="pl-PL"/>
        </w:rPr>
        <w:t>71</w:t>
      </w:r>
      <w:r>
        <w:rPr>
          <w:rFonts w:ascii="Times New Roman"/>
          <w:b/>
          <w:i w:val="false"/>
          <w:color w:val="000000"/>
          <w:sz w:val="24"/>
          <w:lang w:val="pl-PL"/>
        </w:rPr>
        <w:t xml:space="preserve"> </w:t>
      </w:r>
      <w:r>
        <w:rPr>
          <w:rFonts w:ascii="Times New Roman"/>
          <w:b/>
          <w:i w:val="false"/>
          <w:color w:val="000000"/>
          <w:sz w:val="24"/>
          <w:lang w:val="pl-PL"/>
        </w:rPr>
        <w:t>[Dane wpisywane do wykazu przez ministra]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art. 7 ust. 2 pkt 19-26, uzupełnia minister właściwy do spraw informatyzacji.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przedsiębiorców telekomunikacyjnych,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dostawców usług zaufania,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podmiotów publicznych,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podmiotów krytycznych</w:t>
      </w:r>
    </w:p>
    <w:p>
      <w:pPr>
        <w:spacing w:before="25" w:after="0"/>
        <w:ind w:left="0"/>
        <w:jc w:val="left"/>
        <w:textAlignment w:val="auto"/>
      </w:pPr>
      <w:r>
        <w:rPr>
          <w:rFonts w:ascii="Times New Roman"/>
          <w:b w:val="false"/>
          <w:i w:val="false"/>
          <w:color w:val="000000"/>
          <w:sz w:val="24"/>
          <w:lang w:val="pl-PL"/>
        </w:rPr>
        <w:t>- minister właściwy do spraw informatyzacji wpisuje do wykazu dane, o których mowa w art. 7 ust. 2 pkt 1-8 oraz pkt 19-26, dotyczące tych podmiotów - na podstawie danych zawartych w rejestrach publicznych, bazie adresów elektronicznych lub przekazanych przez właściwe organy nadzorcze.</w:t>
      </w:r>
    </w:p>
    <w:p>
      <w:pPr>
        <w:spacing w:before="80" w:after="0"/>
        <w:ind w:left="0"/>
        <w:jc w:val="left"/>
        <w:textAlignment w:val="auto"/>
      </w:pPr>
      <w:r>
        <w:rPr>
          <w:rFonts w:ascii="Times New Roman"/>
          <w:b/>
          <w:i w:val="false"/>
          <w:color w:val="000000"/>
          <w:sz w:val="24"/>
          <w:lang w:val="pl-PL"/>
        </w:rPr>
        <w:t xml:space="preserve"> Art. 7b. </w:t>
      </w:r>
      <w:r>
        <w:rPr>
          <w:rFonts w:ascii="Times New Roman"/>
          <w:b/>
          <w:i w:val="false"/>
          <w:color w:val="000000"/>
          <w:sz w:val="24"/>
          <w:vertAlign w:val="superscript"/>
          <w:lang w:val="pl-PL"/>
        </w:rPr>
        <w:t>72</w:t>
      </w:r>
      <w:r>
        <w:rPr>
          <w:rFonts w:ascii="Times New Roman"/>
          <w:b/>
          <w:i w:val="false"/>
          <w:color w:val="000000"/>
          <w:sz w:val="24"/>
          <w:lang w:val="pl-PL"/>
        </w:rPr>
        <w:t xml:space="preserve"> </w:t>
      </w:r>
      <w:r>
        <w:rPr>
          <w:rFonts w:ascii="Times New Roman"/>
          <w:b/>
          <w:i w:val="false"/>
          <w:color w:val="000000"/>
          <w:sz w:val="24"/>
          <w:lang w:val="pl-PL"/>
        </w:rPr>
        <w:t>[Doręczenie zawiadomienia o wpisie do wykazu; wezwanie do uzupełnienia brakujących danych w wykazie]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Zawiadomienie o wpisie do wykazu z urzędu minister właściwy do spraw informatyzacji doręcza podmiotom kluczowym lub podmiotom ważnym.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wzywa podmioty kluczowe lub podmioty ważne, o których mowa w art. 7a ust. 2, do uzupełnienia brakujących danych w wykazie, w terminie 6 miesięcy od dnia doręczenia wezwania, pod rygorem nałożenia kary pieniężnej.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Wezwanie, o którym mowa w ust. 2,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podstawę prawną wpisu do wykazu;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podmiotu w wykazie;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dane podmiotu wpisane do wykazu oraz wskazanie źródła ich pochodzenia;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brakujących danych, które podmiot musi uzupełnić.</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Podmioty kluczowe lub podmioty ważne, o których mowa w art. 7a ust. 2, uzupełniają dane w wykazie, składając wniosek o zmianę wpisu w tym wykazie, w tym również uzupełniają dane w wykazie w zakresie ich działalności, która nie została objęta wpisem z urzędu.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wpisie do wykazu z urzędu oraz wezwanie, o którym mowa w ust. 2, doręcza się w sposób określony w dziale I rozdziale 8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(Dz. U. z 2025 r. poz. 1691).</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przedsiębiorców telekomunikacyjnych zawiadomienie o wpisie do wykazu z urzędu oraz wezwanie, o którym mowa w ust. 2, może być doręczone za pomocą Platformy Usług Elektronicznych Urzędu Komunikacji Elektronicznej w ramach współpracy ministra właściwego do spraw informatyzacji z Prezesem Urzędu Komunikacji Elektronicznej.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Sprawy, o których mowa w ust. 1 i 2, mogą być załatwiane w sposób, o którym mowa w </w:t>
      </w:r>
      <w:r>
        <w:rPr>
          <w:rFonts w:ascii="Times New Roman"/>
          <w:b w:val="false"/>
          <w:i w:val="false"/>
          <w:color w:val="1b1b1b"/>
          <w:sz w:val="24"/>
          <w:lang w:val="pl-PL"/>
        </w:rPr>
        <w:t>art. 14 § 1b</w:t>
      </w:r>
      <w:r>
        <w:rPr>
          <w:rFonts w:ascii="Times New Roman"/>
          <w:b w:val="false"/>
          <w:i w:val="false"/>
          <w:color w:val="000000"/>
          <w:sz w:val="24"/>
          <w:lang w:val="pl-PL"/>
        </w:rPr>
        <w:t xml:space="preserve"> ustawy z dnia 14 czerwca 1960 r. - Kodeks postępowania administracyjnego.</w:t>
      </w:r>
    </w:p>
    <w:p>
      <w:pPr>
        <w:spacing w:before="80" w:after="0"/>
        <w:ind w:left="0"/>
        <w:jc w:val="left"/>
        <w:textAlignment w:val="auto"/>
      </w:pPr>
      <w:r>
        <w:rPr>
          <w:rFonts w:ascii="Times New Roman"/>
          <w:b/>
          <w:i w:val="false"/>
          <w:color w:val="000000"/>
          <w:sz w:val="24"/>
          <w:lang w:val="pl-PL"/>
        </w:rPr>
        <w:t xml:space="preserve"> Art. 7c. </w:t>
      </w:r>
      <w:r>
        <w:rPr>
          <w:rFonts w:ascii="Times New Roman"/>
          <w:b/>
          <w:i w:val="false"/>
          <w:color w:val="000000"/>
          <w:sz w:val="24"/>
          <w:vertAlign w:val="superscript"/>
          <w:lang w:val="pl-PL"/>
        </w:rPr>
        <w:t>73</w:t>
      </w:r>
      <w:r>
        <w:rPr>
          <w:rFonts w:ascii="Times New Roman"/>
          <w:b/>
          <w:i w:val="false"/>
          <w:color w:val="000000"/>
          <w:sz w:val="24"/>
          <w:lang w:val="pl-PL"/>
        </w:rPr>
        <w:t xml:space="preserve"> </w:t>
      </w:r>
      <w:r>
        <w:rPr>
          <w:rFonts w:ascii="Times New Roman"/>
          <w:b/>
          <w:i w:val="false"/>
          <w:color w:val="000000"/>
          <w:sz w:val="24"/>
          <w:lang w:val="pl-PL"/>
        </w:rPr>
        <w:t>[Wniosek o wpis do wykazu]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składają wniosek o wpis do wykazu, w terminie 6 miesięcy od dnia spełnienia przesłanek uznania za podmiot kluczowy lub podmiot ważny.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Wniosek o wpis do wykazu zawiera dane, o których mowa w art. 7 ust. 2 pkt 1-18.</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składają wniosek o zmianę wpisu w wykazie w zakresie danych, o których mowa w art. 7 ust. 2 pkt 1-18, w terminie 14 dni od dnia ich zmiany.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Wniosek o zmianę wpisu w wykazie zawiera wskazanie zmienianych danych oraz numer podmiotu w tym wykazie.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Wniosek o wpis, zmianę wpisu albo o wykreślenie z wykazu zawiera oświadczenie kierownika podmiotu kluczowego lub podmiotu ważnego o następującej treści: "Świadomy odpowiedzialności karnej za złożenie fałszywego oświadczenia wynikającej z art. 233 § 6 ustawy z dnia 6 czerwca 1997 r. - Kodeks karny oświadczam, że dane zawarte we wniosku są zgodne z prawdą.". Klauzula ta zastępuje pouczenie o odpowiedzialności karnej za złożenie fałszywego oświadczenia. Odpowiedzialność za złożenie fałszywego oświadczenia nie obejmuje podania zakresów adresów IP oraz zakresów nazw domenowych.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Wniosek o wpis, zmianę wpisu albo o wykreślenie z wykazu sporządza się w postaci elektronicznej i opatruje kwalifikowanym podpisem elektronicznym, podpisem zaufanym, podpisem osobistym kierownika podmiotu kluczowego lub podmiotu ważnego lub osoby przez niego upoważnionej albo kwalifikowaną pieczęcią elektroniczną ze wskazaniem w treści pisma osoby opatrującej pismo pieczęcią. Wniosek składa się w systemie teleinformatycznym, o którym mowa w art. 46 ust. 1.</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działania przez pełnomocnika do wniosku o wpis, zmianę wpisu albo o wykreślenie z wykazu dołącza się pełnomocnictwo w postaci elektronicznej podpisane kwalifikowanym podpisem elektronicznym, podpisem zaufanym, podpisem osobistym albo kwalifikowaną pieczęcią elektroniczną. W przypadku pełnomocnika podmiotu ujawnionego w Centralnej Ewidencji i Informacji o Działalności Gospodarczej lub prokurenta ujawnionego w Krajowym Rejestrze Sądowym nie dołącza się pełnomocnictwa.</w:t>
      </w:r>
    </w:p>
    <w:p>
      <w:pPr>
        <w:spacing w:before="80" w:after="0"/>
        <w:ind w:left="0"/>
        <w:jc w:val="left"/>
        <w:textAlignment w:val="auto"/>
      </w:pPr>
      <w:r>
        <w:rPr>
          <w:rFonts w:ascii="Times New Roman"/>
          <w:b/>
          <w:i w:val="false"/>
          <w:color w:val="000000"/>
          <w:sz w:val="24"/>
          <w:lang w:val="pl-PL"/>
        </w:rPr>
        <w:t xml:space="preserve"> Art. 7d. </w:t>
      </w:r>
      <w:r>
        <w:rPr>
          <w:rFonts w:ascii="Times New Roman"/>
          <w:b/>
          <w:i w:val="false"/>
          <w:color w:val="000000"/>
          <w:sz w:val="24"/>
          <w:vertAlign w:val="superscript"/>
          <w:lang w:val="pl-PL"/>
        </w:rPr>
        <w:t>74</w:t>
      </w:r>
      <w:r>
        <w:rPr>
          <w:rFonts w:ascii="Times New Roman"/>
          <w:b/>
          <w:i w:val="false"/>
          <w:color w:val="000000"/>
          <w:sz w:val="24"/>
          <w:lang w:val="pl-PL"/>
        </w:rPr>
        <w:t xml:space="preserve"> </w:t>
      </w:r>
      <w:r>
        <w:rPr>
          <w:rFonts w:ascii="Times New Roman"/>
          <w:b/>
          <w:i w:val="false"/>
          <w:color w:val="000000"/>
          <w:sz w:val="24"/>
          <w:lang w:val="pl-PL"/>
        </w:rPr>
        <w:t>[Dokonanie wpisu do wykazu]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Wpisu podmiotu do wykazu dokonuje się z chwilą złożenia wniosku w systemie teleinformatycznym, o którym mowa w art. 46 ust. 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prowadzący kilka rodzajów działalności wykazują odrębnie te działalności we wniosku.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Wpisu do wykazu nie dokonuje się, jeżeli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zawiera danych podlegających wpisowi zgodnie z art. 7 ust. 2 pkt 1-18;</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dotyczy podmiotu kluczowego lub podmiotu ważnego już wpisanego do wykazu;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zawiera oświadczenia, o którym mowa w art. 7c ust. 5;</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 został podpisany.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Zmiany wpisu do wykazu nie dokonuje się, jeżeli wniosek o zmianę wpisu: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zawiera nazwy podmiotu oraz numeru podmiotu w wykazie;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zawiera wskazania danych zmienianych;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zawiera oświadczenia, o którym mowa w art. 7c ust. 5;</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 został podpisany.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Wpis, zmiana wpisu oraz wykreślenie wpisu z wykazu jest czynnością materialno-techniczną i ma charakter deklaratoryjny.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wydaje, na żądanie podmiotu wpisanego do wykazu, zaświadczenie o wpisie podmiotu do wykazu albo o zmianie tego wpisu wraz ze wskazaniem aktualnych danych zawartych w wykazie dotyczących podmiotu.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Zaświadczenie, o którym mowa w ust. 6, jest wydawane w postaci dokumentu elektronicznego, opatrzonego kwalifikowaną pieczęcią elektroniczną, za pomocą systemu teleinformatycznego, o którym mowa w art. 46 ust. 1.</w:t>
      </w:r>
    </w:p>
    <w:p>
      <w:pPr>
        <w:spacing w:before="80" w:after="0"/>
        <w:ind w:left="0"/>
        <w:jc w:val="left"/>
        <w:textAlignment w:val="auto"/>
      </w:pPr>
      <w:r>
        <w:rPr>
          <w:rFonts w:ascii="Times New Roman"/>
          <w:b/>
          <w:i w:val="false"/>
          <w:color w:val="000000"/>
          <w:sz w:val="24"/>
          <w:lang w:val="pl-PL"/>
        </w:rPr>
        <w:t xml:space="preserve"> Art. 7e. </w:t>
      </w:r>
      <w:r>
        <w:rPr>
          <w:rFonts w:ascii="Times New Roman"/>
          <w:b/>
          <w:i w:val="false"/>
          <w:color w:val="000000"/>
          <w:sz w:val="24"/>
          <w:vertAlign w:val="superscript"/>
          <w:lang w:val="pl-PL"/>
        </w:rPr>
        <w:t>75</w:t>
      </w:r>
      <w:r>
        <w:rPr>
          <w:rFonts w:ascii="Times New Roman"/>
          <w:b/>
          <w:i w:val="false"/>
          <w:color w:val="000000"/>
          <w:sz w:val="24"/>
          <w:lang w:val="pl-PL"/>
        </w:rPr>
        <w:t xml:space="preserve"> </w:t>
      </w:r>
      <w:r>
        <w:rPr>
          <w:rFonts w:ascii="Times New Roman"/>
          <w:b/>
          <w:i w:val="false"/>
          <w:color w:val="000000"/>
          <w:sz w:val="24"/>
          <w:lang w:val="pl-PL"/>
        </w:rPr>
        <w:t>[Aktualizacja danych zawartych we wpisach w wykazie]</w:t>
      </w:r>
    </w:p>
    <w:p>
      <w:pPr>
        <w:spacing w:after="0"/>
        <w:ind w:left="0"/>
        <w:jc w:val="left"/>
        <w:textAlignment w:val="auto"/>
      </w:pPr>
      <w:r>
        <w:rPr>
          <w:rFonts w:ascii="Times New Roman"/>
          <w:b w:val="false"/>
          <w:i w:val="false"/>
          <w:color w:val="000000"/>
          <w:sz w:val="24"/>
          <w:lang w:val="pl-PL"/>
        </w:rPr>
        <w:t>Minister właściwy do spraw informatyzacji co najmniej raz w roku aktualizuje dane zawarte we wpisach w wykazie w zakresie nazwy podmiotu na podstawie danych pozyskanych z publicznie dostępnych rejestrów publicznych.</w:t>
      </w:r>
    </w:p>
    <w:p>
      <w:pPr>
        <w:spacing w:before="80" w:after="0"/>
        <w:ind w:left="0"/>
        <w:jc w:val="left"/>
        <w:textAlignment w:val="auto"/>
      </w:pPr>
      <w:r>
        <w:rPr>
          <w:rFonts w:ascii="Times New Roman"/>
          <w:b/>
          <w:i w:val="false"/>
          <w:color w:val="000000"/>
          <w:sz w:val="24"/>
          <w:lang w:val="pl-PL"/>
        </w:rPr>
        <w:t xml:space="preserve"> Art. 7f. </w:t>
      </w:r>
      <w:r>
        <w:rPr>
          <w:rFonts w:ascii="Times New Roman"/>
          <w:b/>
          <w:i w:val="false"/>
          <w:color w:val="000000"/>
          <w:sz w:val="24"/>
          <w:vertAlign w:val="superscript"/>
          <w:lang w:val="pl-PL"/>
        </w:rPr>
        <w:t>76</w:t>
      </w:r>
      <w:r>
        <w:rPr>
          <w:rFonts w:ascii="Times New Roman"/>
          <w:b/>
          <w:i w:val="false"/>
          <w:color w:val="000000"/>
          <w:sz w:val="24"/>
          <w:lang w:val="pl-PL"/>
        </w:rPr>
        <w:t xml:space="preserve"> </w:t>
      </w:r>
      <w:r>
        <w:rPr>
          <w:rFonts w:ascii="Times New Roman"/>
          <w:b/>
          <w:i w:val="false"/>
          <w:color w:val="000000"/>
          <w:sz w:val="24"/>
          <w:lang w:val="pl-PL"/>
        </w:rPr>
        <w:t>[Wykreślenie podmiotu z wykazu]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wykreśla podmiot z wykazu, po uzyskaniu informacji o wykreśleniu podmiotu z krajowego rejestru urzędowego podmiotów gospodarki narodowej (REGON), Krajowego Rejestru Sądowego lub Centralnej Ewidencji i Informacji o Działalności Gospodarczej.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wykreśla podmiot z wykazu, w zakresie nadzorowanego sektora, podsektora lub rodzaju działalności,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wpisany do wykazu nie jest podmiotem kluczowym albo podmiotem ważnym;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wpisany do wykazu utracił status podmiotu kluczowego albo podmiotu ważnego po wpisie do wykazu.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składają za pomocą systemu teleinformatycznego, o którym mowa w art. 46 ust. 1, wniosek o wykreślenie z wykazu w zakresie sektora, podsektora lub rodzaju działalności, jeżeli przestały spełniać przesłanki uznania za podmiot kluczowy lub podmiot ważny w tym sektorze, podsektorze lub dla określonego rodzaju działalności. Wniosek o wykreślenie z wykazu zawiera uzasadnienie.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rozpatruje wniosek w terminie miesiąca od dnia złożenia wniosku i informuje o wykreśleniu albo odmowie wykreślenia z wykazu.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odmawia wykreślenia podmiotu z wykazu, jeżeli podmiot nadal spełnia przesłanki uznania za podmiot kluczowy lub podmiot ważny.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Odmowa wykreślenia jest inną czynnością z zakresu administracji publicznej, na którą przysługuje skarga do sądu administracyjnego i wymaga uzasadnienia.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Brak odmowy wykreślenia podmiotu z wykazu w terminie, o którym mowa w ust. 4, skutkuje wykreśleniem podmiotu z wykazu.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Wykreślenie podmiotu z wykazu jest inną czynnością z zakresu administracji publicznej, na którą przysługuje skarga do sądu administracyjnego.</w:t>
      </w:r>
    </w:p>
    <w:p>
      <w:pPr>
        <w:spacing w:before="80" w:after="0"/>
        <w:ind w:left="0"/>
        <w:jc w:val="left"/>
        <w:textAlignment w:val="auto"/>
      </w:pPr>
      <w:r>
        <w:rPr>
          <w:rFonts w:ascii="Times New Roman"/>
          <w:b/>
          <w:i w:val="false"/>
          <w:color w:val="000000"/>
          <w:sz w:val="24"/>
          <w:lang w:val="pl-PL"/>
        </w:rPr>
        <w:t xml:space="preserve"> Art. 7g. </w:t>
      </w:r>
      <w:r>
        <w:rPr>
          <w:rFonts w:ascii="Times New Roman"/>
          <w:b/>
          <w:i w:val="false"/>
          <w:color w:val="000000"/>
          <w:sz w:val="24"/>
          <w:vertAlign w:val="superscript"/>
          <w:lang w:val="pl-PL"/>
        </w:rPr>
        <w:t>77</w:t>
      </w:r>
      <w:r>
        <w:rPr>
          <w:rFonts w:ascii="Times New Roman"/>
          <w:b/>
          <w:i w:val="false"/>
          <w:color w:val="000000"/>
          <w:sz w:val="24"/>
          <w:lang w:val="pl-PL"/>
        </w:rPr>
        <w:t xml:space="preserve"> </w:t>
      </w:r>
      <w:r>
        <w:rPr>
          <w:rFonts w:ascii="Times New Roman"/>
          <w:b/>
          <w:i w:val="false"/>
          <w:color w:val="000000"/>
          <w:sz w:val="24"/>
          <w:lang w:val="pl-PL"/>
        </w:rPr>
        <w:t>[Udostępnianie danych z wykazu]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udostępnia dane, o których mowa w art. 7 ust. 2, CSIRT MON, CSIRT NASK i CSIRT GOV oraz CSIRT sektorowemu w zakresie sektora lub podsektora, dla którego został ustanowiony, organowi właściwemu do spraw cyberbezpieczeństwa w zakresie nadzorowanego sektora lub podsektora, a także podmiotowi kluczowemu lub podmiotowi ważnemu w zakresie go dotyczącym.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udostępnia dane, o których mowa w art. 7 ust. 2, na wniosek, następującym podmiotom: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Agencji Bezpieczeństwa Wewnętrznego,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Agencji Wywiadu,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dyrektorowi Rządowego Centrum Bezpieczeństwa,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organom Krajowej Administracji Skarbowej,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Najwyższej Izbie Kontroli,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Prezesowi Urzędu Lotnictwa Cywilnego,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Prezesowi Urzędu Ochrony Danych Osobowych,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Prezesowi Urzędu Transportu Kolejowego,</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Prokuratorii Generalnej Rzeczypospolitej Polskiej,</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prokuratorowi,</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sądom,</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Służbie Kontrwywiadu Wojskowego,</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Służbie Ochrony Państwa,</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Służbie Wywiadu Wojskowego,</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Straży Granicznej,</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Żandarmerii Wojskowej</w:t>
      </w:r>
    </w:p>
    <w:p>
      <w:pPr>
        <w:spacing w:before="25" w:after="0"/>
        <w:ind w:left="0"/>
        <w:jc w:val="left"/>
        <w:textAlignment w:val="auto"/>
      </w:pPr>
      <w:r>
        <w:rPr>
          <w:rFonts w:ascii="Times New Roman"/>
          <w:b w:val="false"/>
          <w:i w:val="false"/>
          <w:color w:val="000000"/>
          <w:sz w:val="24"/>
          <w:lang w:val="pl-PL"/>
        </w:rPr>
        <w:t>- w zakresie niezbędnym do realizacji ich ustawowych zadań.</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Udostępnianie danych, o których mowa w art. 7 ust. 2, odbywa się za pomocą systemu teleinformatycznego, o którym mowa w art. 46 ust. 1.</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Informacja o zmianie wpisu w wykazie lub o wykreśleniu podmiotu z wykazu jest przechowywana w systemie teleinformatycznym, o którym mowa w art. 46 ust. 1, przez 5 lat od dokonania tej zmiany lub wykreślenia. W informacji wskazuje się datę i czas dokonania zmiany lub wykreślenia.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administratora konta podmiotu w systemie teleinformatycznym, o którym mowa w art. 46 ust. 1, w tym numer PESEL lub niepowtarzalny identyfikator środka identyfikacji elektronicznej, o którym mowa w aktach wykonawczych Komisji Europejskiej, wydanych na podstawie </w:t>
      </w:r>
      <w:r>
        <w:rPr>
          <w:rFonts w:ascii="Times New Roman"/>
          <w:b w:val="false"/>
          <w:i w:val="false"/>
          <w:color w:val="1b1b1b"/>
          <w:sz w:val="24"/>
          <w:lang w:val="pl-PL"/>
        </w:rPr>
        <w:t>art. 12 ust. 8</w:t>
      </w:r>
      <w:r>
        <w:rPr>
          <w:rFonts w:ascii="Times New Roman"/>
          <w:b w:val="false"/>
          <w:i w:val="false"/>
          <w:color w:val="000000"/>
          <w:sz w:val="24"/>
          <w:lang w:val="pl-PL"/>
        </w:rPr>
        <w:t xml:space="preserve"> rozporządzenia 910/2014, są dostępne wyłącznie dla ministra właściwego do spraw informatyzacji lub jednostki podległej temu ministrowi albo przez niego nadzorowanej, której powierzył realizację zadania rozwoju lub utrzymania systemu. Przepisu zdania pierwszego nie stosuje się do uprawnień sądu i prokuratora w ramach przeprowadzania dowodu w postępowaniu karnym, postępowaniu cywilnym, postępowaniu sądowoadministracyjnym.</w:t>
      </w:r>
    </w:p>
    <w:p>
      <w:pPr>
        <w:spacing w:before="80" w:after="0"/>
        <w:ind w:left="0"/>
        <w:jc w:val="left"/>
        <w:textAlignment w:val="auto"/>
      </w:pPr>
      <w:r>
        <w:rPr>
          <w:rFonts w:ascii="Times New Roman"/>
          <w:b/>
          <w:i w:val="false"/>
          <w:color w:val="000000"/>
          <w:sz w:val="24"/>
          <w:lang w:val="pl-PL"/>
        </w:rPr>
        <w:t xml:space="preserve"> Art. 7h. </w:t>
      </w:r>
      <w:r>
        <w:rPr>
          <w:rFonts w:ascii="Times New Roman"/>
          <w:b/>
          <w:i w:val="false"/>
          <w:color w:val="000000"/>
          <w:sz w:val="24"/>
          <w:vertAlign w:val="superscript"/>
          <w:lang w:val="pl-PL"/>
        </w:rPr>
        <w:t>78</w:t>
      </w:r>
      <w:r>
        <w:rPr>
          <w:rFonts w:ascii="Times New Roman"/>
          <w:b/>
          <w:i w:val="false"/>
          <w:color w:val="000000"/>
          <w:sz w:val="24"/>
          <w:lang w:val="pl-PL"/>
        </w:rPr>
        <w:t xml:space="preserve"> </w:t>
      </w:r>
      <w:r>
        <w:rPr>
          <w:rFonts w:ascii="Times New Roman"/>
          <w:b/>
          <w:i w:val="false"/>
          <w:color w:val="000000"/>
          <w:sz w:val="24"/>
          <w:lang w:val="pl-PL"/>
        </w:rPr>
        <w:t>[Przekazanie ministrowi informacji o uznaniu podmiotu kluczowego lub podmiotu ważnego za podmiot krytyczny]</w:t>
      </w:r>
    </w:p>
    <w:p>
      <w:pPr>
        <w:spacing w:after="0"/>
        <w:ind w:left="0"/>
        <w:jc w:val="left"/>
        <w:textAlignment w:val="auto"/>
      </w:pPr>
      <w:r>
        <w:rPr>
          <w:rFonts w:ascii="Times New Roman"/>
          <w:b w:val="false"/>
          <w:i w:val="false"/>
          <w:color w:val="000000"/>
          <w:sz w:val="24"/>
          <w:lang w:val="pl-PL"/>
        </w:rPr>
        <w:t>Informację o uznaniu podmiotu kluczowego lub podmiotu ważnego za podmiot krytyczny przekazuje ministrowi właściwemu do spraw informatyzacji dyrektor Rządowego Centrum Bezpieczeństwa.</w:t>
      </w:r>
    </w:p>
    <w:p>
      <w:pPr>
        <w:spacing w:before="80" w:after="0"/>
        <w:ind w:left="0"/>
        <w:jc w:val="left"/>
        <w:textAlignment w:val="auto"/>
      </w:pPr>
      <w:r>
        <w:rPr>
          <w:rFonts w:ascii="Times New Roman"/>
          <w:b/>
          <w:i w:val="false"/>
          <w:color w:val="000000"/>
          <w:sz w:val="24"/>
          <w:lang w:val="pl-PL"/>
        </w:rPr>
        <w:t xml:space="preserve"> Art. 7i. </w:t>
      </w:r>
      <w:r>
        <w:rPr>
          <w:rFonts w:ascii="Times New Roman"/>
          <w:b/>
          <w:i w:val="false"/>
          <w:color w:val="000000"/>
          <w:sz w:val="24"/>
          <w:vertAlign w:val="superscript"/>
          <w:lang w:val="pl-PL"/>
        </w:rPr>
        <w:t>79</w:t>
      </w:r>
      <w:r>
        <w:rPr>
          <w:rFonts w:ascii="Times New Roman"/>
          <w:b/>
          <w:i w:val="false"/>
          <w:color w:val="000000"/>
          <w:sz w:val="24"/>
          <w:lang w:val="pl-PL"/>
        </w:rPr>
        <w:t xml:space="preserve"> </w:t>
      </w:r>
      <w:r>
        <w:rPr>
          <w:rFonts w:ascii="Times New Roman"/>
          <w:b/>
          <w:i w:val="false"/>
          <w:color w:val="000000"/>
          <w:sz w:val="24"/>
          <w:lang w:val="pl-PL"/>
        </w:rPr>
        <w:t>[Publikacja danych o liczbie podmiotów kluczowych lub podmiotów ważnych]</w:t>
      </w:r>
    </w:p>
    <w:p>
      <w:pPr>
        <w:spacing w:after="0"/>
        <w:ind w:left="0"/>
        <w:jc w:val="left"/>
        <w:textAlignment w:val="auto"/>
      </w:pPr>
      <w:r>
        <w:rPr>
          <w:rFonts w:ascii="Times New Roman"/>
          <w:b w:val="false"/>
          <w:i w:val="false"/>
          <w:color w:val="000000"/>
          <w:sz w:val="24"/>
          <w:lang w:val="pl-PL"/>
        </w:rPr>
        <w:t xml:space="preserve">Minister właściwy do spraw informatyzacji udostępnia w portalu danych,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11 sierpnia 2021 r. o otwartych danych i ponownym wykorzystywaniu informacji sektora publicznego, liczbę podmiotów kluczowych lub podmiotów ważnych w podziale na sektory, podsektory i rodzaj działalności. Dane te są aktualizowane nierzadziej niż raz na kwartał.</w:t>
      </w:r>
    </w:p>
    <w:p>
      <w:pPr>
        <w:spacing w:before="80" w:after="0"/>
        <w:ind w:left="0"/>
        <w:jc w:val="left"/>
        <w:textAlignment w:val="auto"/>
      </w:pPr>
      <w:r>
        <w:rPr>
          <w:rFonts w:ascii="Times New Roman"/>
          <w:b/>
          <w:i w:val="false"/>
          <w:color w:val="000000"/>
          <w:sz w:val="24"/>
          <w:lang w:val="pl-PL"/>
        </w:rPr>
        <w:t xml:space="preserve"> Art. 7j. </w:t>
      </w:r>
      <w:r>
        <w:rPr>
          <w:rFonts w:ascii="Times New Roman"/>
          <w:b/>
          <w:i w:val="false"/>
          <w:color w:val="000000"/>
          <w:sz w:val="24"/>
          <w:vertAlign w:val="superscript"/>
          <w:lang w:val="pl-PL"/>
        </w:rPr>
        <w:t>80</w:t>
      </w:r>
      <w:r>
        <w:rPr>
          <w:rFonts w:ascii="Times New Roman"/>
          <w:b/>
          <w:i w:val="false"/>
          <w:color w:val="000000"/>
          <w:sz w:val="24"/>
          <w:lang w:val="pl-PL"/>
        </w:rPr>
        <w:t xml:space="preserve"> </w:t>
      </w:r>
      <w:r>
        <w:rPr>
          <w:rFonts w:ascii="Times New Roman"/>
          <w:b/>
          <w:i w:val="false"/>
          <w:color w:val="000000"/>
          <w:sz w:val="24"/>
          <w:lang w:val="pl-PL"/>
        </w:rPr>
        <w:t>[Wpis podmiotu do wykazu w przypadku niezłożenia w terminie wniosku o wpis]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wpisać podmiot do wykazu, jeżeli podmiot ten spełnia przesłanki uznania go za podmiot kluczowy albo podmiot ważny, oraz podmiot ten nie złożył wniosku w terminie, o którym mowa w art. 7c ust. 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Dokonując wpisu podmiotu do wykazu, organ właściwy do spraw cyberbezpieczeństwa korzysta z danych zawartych w publicznie dostępnych rejestrach publicznych, danych dostępnych organowi na podstawie przepisów odrębnych oraz informacji uzyskanych od podmiotu na podstawie art. 43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zawiadamia podmiot o wpisie do wykazu na podstawie ust. 1 oraz wzywa ten podmiot do uzupełnienia brakujących danych w wykazie, w terminie 6 miesięcy od dnia otrzymania zawiadomienia, pod rygorem nałożenia kary pieniężnej.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wpisie do wykazu na podstawie ust. 1 oraz wezwanie, o którym mowa w ust. 3, doręcza się w sposób określony w </w:t>
      </w:r>
      <w:r>
        <w:rPr>
          <w:rFonts w:ascii="Times New Roman"/>
          <w:b w:val="false"/>
          <w:i w:val="false"/>
          <w:color w:val="1b1b1b"/>
          <w:sz w:val="24"/>
          <w:lang w:val="pl-PL"/>
        </w:rPr>
        <w:t>dziale I</w:t>
      </w:r>
      <w:r>
        <w:rPr>
          <w:rFonts w:ascii="Times New Roman"/>
          <w:b w:val="false"/>
          <w:i w:val="false"/>
          <w:color w:val="000000"/>
          <w:sz w:val="24"/>
          <w:lang w:val="pl-PL"/>
        </w:rPr>
        <w:t xml:space="preserve"> rozdziale 8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Wpis do wykazu na podstawie ust. 1 jest inną czynnością z zakresu administracji publicznej, na którą przysługuje skarga do sądu administracyjnego, i wymaga uzasadnienia.</w:t>
      </w:r>
    </w:p>
    <w:p>
      <w:pPr>
        <w:spacing w:before="80" w:after="0"/>
        <w:ind w:left="0"/>
        <w:jc w:val="left"/>
        <w:textAlignment w:val="auto"/>
      </w:pPr>
      <w:r>
        <w:rPr>
          <w:rFonts w:ascii="Times New Roman"/>
          <w:b/>
          <w:i w:val="false"/>
          <w:color w:val="000000"/>
          <w:sz w:val="24"/>
          <w:lang w:val="pl-PL"/>
        </w:rPr>
        <w:t xml:space="preserve"> Art. 7k. </w:t>
      </w:r>
      <w:r>
        <w:rPr>
          <w:rFonts w:ascii="Times New Roman"/>
          <w:b/>
          <w:i w:val="false"/>
          <w:color w:val="000000"/>
          <w:sz w:val="24"/>
          <w:vertAlign w:val="superscript"/>
          <w:lang w:val="pl-PL"/>
        </w:rPr>
        <w:t>81</w:t>
      </w:r>
      <w:r>
        <w:rPr>
          <w:rFonts w:ascii="Times New Roman"/>
          <w:b/>
          <w:i w:val="false"/>
          <w:color w:val="000000"/>
          <w:sz w:val="24"/>
          <w:lang w:val="pl-PL"/>
        </w:rPr>
        <w:t xml:space="preserve"> </w:t>
      </w:r>
      <w:r>
        <w:rPr>
          <w:rFonts w:ascii="Times New Roman"/>
          <w:b/>
          <w:i w:val="false"/>
          <w:color w:val="000000"/>
          <w:sz w:val="24"/>
          <w:lang w:val="pl-PL"/>
        </w:rPr>
        <w:t>[Weryfikacja zgodności ze stanem faktycznym danych zawartych w wykazie]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dokonywać czynności sprawdzających mających na celu weryfikację zgodności ze stanem faktycznym danych zawartych w wykazie.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że dane w wykazie są niezgodne ze stanem faktycznym, organ właściwy do spraw cyberbezpieczeństwa wzywa podmiot do zmiany wpisu, w terminie 7 dni od dnia doręczenia wezwania, pod rygorem nałożenia kary pieniężnej. Do doręczenia wezwania stosuje się przepisy działu I rozdziału 8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poprawia, z urzędu, oczywiste omyłki i błędy zawarte w wykazie.</w:t>
      </w:r>
    </w:p>
    <w:p>
      <w:pPr>
        <w:spacing w:before="80" w:after="0"/>
        <w:ind w:left="0"/>
        <w:jc w:val="left"/>
        <w:textAlignment w:val="auto"/>
      </w:pPr>
      <w:r>
        <w:rPr>
          <w:rFonts w:ascii="Times New Roman"/>
          <w:b/>
          <w:i w:val="false"/>
          <w:color w:val="000000"/>
          <w:sz w:val="24"/>
          <w:lang w:val="pl-PL"/>
        </w:rPr>
        <w:t xml:space="preserve"> Art. 7l. </w:t>
      </w:r>
      <w:r>
        <w:rPr>
          <w:rFonts w:ascii="Times New Roman"/>
          <w:b/>
          <w:i w:val="false"/>
          <w:color w:val="000000"/>
          <w:sz w:val="24"/>
          <w:vertAlign w:val="superscript"/>
          <w:lang w:val="pl-PL"/>
        </w:rPr>
        <w:t>82</w:t>
      </w:r>
      <w:r>
        <w:rPr>
          <w:rFonts w:ascii="Times New Roman"/>
          <w:b/>
          <w:i w:val="false"/>
          <w:color w:val="000000"/>
          <w:sz w:val="24"/>
          <w:lang w:val="pl-PL"/>
        </w:rPr>
        <w:t xml:space="preserve"> </w:t>
      </w:r>
      <w:r>
        <w:rPr>
          <w:rFonts w:ascii="Times New Roman"/>
          <w:b/>
          <w:i w:val="false"/>
          <w:color w:val="000000"/>
          <w:sz w:val="24"/>
          <w:lang w:val="pl-PL"/>
        </w:rPr>
        <w:t>[Uznanie podmiotu za podmiot kluczowy lub podmiot ważny pomimo niespełnienia wszystkich wymaganych warunków]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w drodze decyzji, może uznać osobę fizyczną, osobę prawną albo jednostkę organizacyjną nieposiadającą osobowości prawnej za podmiot kluczowy lub podmiot ważny, która nie spełnia przesłanek określonych w art. 5 ust. 1 pkt 1-3, pkt 4 lit. a-d oraz g-j, ust. 2 pkt 1-5 oraz 7 i 8, ust. 3-11,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jest podmiotem określonym w załączniku nr 1 lub 2 do ustawy;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spełnia co najmniej jedną z poniższych przesłanek:</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jako jedyna świadczy usługę, za pomocą systemu informacyjnego, która ma kluczowe znaczenie dla krytycznej działalności społecznej lub gospodarczej,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zakłócenie usługi świadczonej przez nią za pomocą systemu informacyjnego spowoduje poważne zagrożenie dla bezpieczeństwa państwa, bezpieczeństwa i porządku publicznego, obronności lub zdrowia publicznego,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zakłócenie usługi świadczonej przez nią za pomocą systemu informacyjnego spowoduje ryzyko systemowe zaprzestania świadczenia usług przez podmioty kluczowe lub podmioty ważne lub</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świadczenie przez nią, za pomocą systemu informacyjnego, usługi ma istotne znaczenie na poziomie wojewódzkim lub krajowym lub ma znaczenie dla dwóch lub więcej sektorów określonych w załączniku nr 1 lub 2 do ustawy.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uznaje się za: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jeżeli prowadzi działalność określoną w załączniku nr 1 do ustawy;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ważny, jeżeli prowadzi działalność określoną w załączniku nr 2 do ustawy.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decyzji, o której mowa w ust. 1, organ właściwy do spraw cyberbezpieczeństwa: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określa sektor i podsektor, do którego został przypisany podmiot;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wzywa podmiot do uzupełnienia brakujących danych w wykazie, w terminie 6 miesięcy od dnia doręczenia decyzji, pod rygorem nałożenia kary pieniężnej.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 wezwania do uzupełnienia brakujących danych w wykazie stosuje się przepis art. 7b ust. 3.</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 podlega natychmiastowemu wykonaniu.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niezwłocznie wpisuje do wykazu podmiot, wobec którego wydano decyzję, o której mowa w ust. 1.</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Podmiot, wobec którego wydano decyzję, o której mowa w ust.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realizuje obowiązki, o których mowa w rozdziale 3, w terminie 12 miesięcy,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zapewnia przeprowadzenie po raz pierwszy audytu, o którym mowa w art. 15 ust. 1, w terminie 24 miesięcy</w:t>
      </w:r>
    </w:p>
    <w:p>
      <w:pPr>
        <w:spacing w:before="25" w:after="0"/>
        <w:ind w:left="0"/>
        <w:jc w:val="left"/>
        <w:textAlignment w:val="auto"/>
      </w:pPr>
      <w:r>
        <w:rPr>
          <w:rFonts w:ascii="Times New Roman"/>
          <w:b w:val="false"/>
          <w:i w:val="false"/>
          <w:color w:val="000000"/>
          <w:sz w:val="24"/>
          <w:lang w:val="pl-PL"/>
        </w:rPr>
        <w:t>- od dnia doręczenia tej decyzji.</w:t>
      </w:r>
    </w:p>
    <w:p>
      <w:pPr>
        <w:spacing w:before="80" w:after="0"/>
        <w:ind w:left="0"/>
        <w:jc w:val="left"/>
        <w:textAlignment w:val="auto"/>
      </w:pPr>
      <w:r>
        <w:rPr>
          <w:rFonts w:ascii="Times New Roman"/>
          <w:b/>
          <w:i w:val="false"/>
          <w:color w:val="000000"/>
          <w:sz w:val="24"/>
          <w:lang w:val="pl-PL"/>
        </w:rPr>
        <w:t xml:space="preserve"> Art. 7m. </w:t>
      </w:r>
      <w:r>
        <w:rPr>
          <w:rFonts w:ascii="Times New Roman"/>
          <w:b/>
          <w:i w:val="false"/>
          <w:color w:val="000000"/>
          <w:sz w:val="24"/>
          <w:vertAlign w:val="superscript"/>
          <w:lang w:val="pl-PL"/>
        </w:rPr>
        <w:t>83</w:t>
      </w:r>
      <w:r>
        <w:rPr>
          <w:rFonts w:ascii="Times New Roman"/>
          <w:b/>
          <w:i w:val="false"/>
          <w:color w:val="000000"/>
          <w:sz w:val="24"/>
          <w:lang w:val="pl-PL"/>
        </w:rPr>
        <w:t xml:space="preserve"> </w:t>
      </w:r>
      <w:r>
        <w:rPr>
          <w:rFonts w:ascii="Times New Roman"/>
          <w:b/>
          <w:i w:val="false"/>
          <w:color w:val="000000"/>
          <w:sz w:val="24"/>
          <w:lang w:val="pl-PL"/>
        </w:rPr>
        <w:t>[Uznanie państwowej osoby prawnej za podmiot kluczowy w sektorze podmiotów publicznych]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może uznać, w drodze decyzji, państwową osobę prawną, o której mowa w </w:t>
      </w:r>
      <w:r>
        <w:rPr>
          <w:rFonts w:ascii="Times New Roman"/>
          <w:b w:val="false"/>
          <w:i w:val="false"/>
          <w:color w:val="1b1b1b"/>
          <w:sz w:val="24"/>
          <w:lang w:val="pl-PL"/>
        </w:rPr>
        <w:t>art. 3 ust. 1</w:t>
      </w:r>
      <w:r>
        <w:rPr>
          <w:rFonts w:ascii="Times New Roman"/>
          <w:b w:val="false"/>
          <w:i w:val="false"/>
          <w:color w:val="000000"/>
          <w:sz w:val="24"/>
          <w:lang w:val="pl-PL"/>
        </w:rPr>
        <w:t xml:space="preserve"> ustawy z dnia 16 grudnia 2016 r. o zasadach zarządzania mieniem państwowym (Dz. U. z 2024 r. poz. 125, 834, 1823, 1897 i 1940 oraz z 2026 r. poz. 160), za podmiot kluczowy w sektorze podmiotów publicznych, jeżeli realizuje, za pomocą systemu informacyjnego, zadanie publiczne: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którego zakłócenie spowoduje poważne zagrożenie dla bezpieczeństwa państwa, bezpieczeństwa i porządku publicznego, obronności lub zdrowia publicznego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które ma istotne znaczenie na poziomie krajowym.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 podlega natychmiastowemu wykonaniu.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wzywa państwową osobę prawną, wobec której wydano decyzję, o której mowa w ust. 1, do uzupełnienia brakujących danych w wykazie, w terminie 6 miesięcy od dnia doręczenia decyzji, o której mowa w ust. 1, pod rygorem nałożenia kary pieniężnej.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 wezwania do uzupełnienia brakujących danych w wykazie, o którym mowa w ust. 3, stosuje się przepis art. 7b ust. 3.</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niezwłocznie wpisuje do wykazu państwową osobę prawną, wobec której wydano decyzję, o której mowa w ust. 1.</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Państwowa osoba prawna, wobec której wydano decyzję, o której mowa w ust.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realizuje obowiązki, o których mowa w rozdziale 3, w terminie 12 miesięcy,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zapewnia przeprowadzenie po raz pierwszy audytu w terminie 24 miesięcy</w:t>
      </w:r>
    </w:p>
    <w:p>
      <w:pPr>
        <w:spacing w:before="25" w:after="0"/>
        <w:ind w:left="0"/>
        <w:jc w:val="left"/>
        <w:textAlignment w:val="auto"/>
      </w:pPr>
      <w:r>
        <w:rPr>
          <w:rFonts w:ascii="Times New Roman"/>
          <w:b w:val="false"/>
          <w:i w:val="false"/>
          <w:color w:val="000000"/>
          <w:sz w:val="24"/>
          <w:lang w:val="pl-PL"/>
        </w:rPr>
        <w:t>- od dnia doręczenia tej decyzji.</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 xml:space="preserve">Obowiązki podmiotów kluczowych lub podmiotów ważnych </w:t>
      </w:r>
      <w:r>
        <w:rPr>
          <w:rFonts w:ascii="Times New Roman"/>
          <w:b/>
          <w:i w:val="false"/>
          <w:color w:val="000000"/>
          <w:sz w:val="24"/>
          <w:vertAlign w:val="superscript"/>
          <w:lang w:val="pl-PL"/>
        </w:rPr>
        <w:t>84</w:t>
      </w:r>
    </w:p>
    <w:p>
      <w:pPr>
        <w:spacing w:before="80" w:after="0"/>
        <w:ind w:left="0"/>
        <w:jc w:val="left"/>
        <w:textAlignment w:val="auto"/>
      </w:pPr>
      <w:r>
        <w:rPr>
          <w:rFonts w:ascii="Times New Roman"/>
          <w:b/>
          <w:i w:val="false"/>
          <w:color w:val="000000"/>
          <w:sz w:val="24"/>
          <w:lang w:val="pl-PL"/>
        </w:rPr>
        <w:t xml:space="preserve"> Art. 8. </w:t>
      </w:r>
      <w:r>
        <w:rPr>
          <w:rFonts w:ascii="Times New Roman"/>
          <w:b/>
          <w:i w:val="false"/>
          <w:color w:val="000000"/>
          <w:sz w:val="24"/>
          <w:vertAlign w:val="superscript"/>
          <w:lang w:val="pl-PL"/>
        </w:rPr>
        <w:t>85</w:t>
      </w:r>
      <w:r>
        <w:rPr>
          <w:rFonts w:ascii="Times New Roman"/>
          <w:b/>
          <w:i w:val="false"/>
          <w:color w:val="000000"/>
          <w:sz w:val="24"/>
          <w:lang w:val="pl-PL"/>
        </w:rPr>
        <w:t xml:space="preserve"> </w:t>
      </w:r>
      <w:r>
        <w:rPr>
          <w:rFonts w:ascii="Times New Roman"/>
          <w:b/>
          <w:i w:val="false"/>
          <w:color w:val="000000"/>
          <w:sz w:val="24"/>
          <w:lang w:val="pl-PL"/>
        </w:rPr>
        <w:t>[Obowiązek wdrożenia systemu zarządzania bezpieczeństwem informacji]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wdraża system zarządzania bezpieczeństwem informacji w systemie informacyjnym wykorzystywanym w procesach wpływających na świadczenie usługi przez ten podmiot, zapewniający: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prowadzenie systematycznego szacowania ryzyka wystąpienia incydentu oraz zarządzanie tym ryzykiem;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wdrożenie odpowiednich i proporcjonalnych do oszacowanego ryzyka środków technicznych i organizacyjnych, uwzględniających najnowszy stan wiedzy, koszty wdrożenia, wielkość podmiotu, prawdopodobieństwo wystąpienia incydentów, narażenie podmiotu na ryzyka, skutki społeczne i gospodarcze,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polityki szacowania ryzyka oraz bezpieczeństwa systemu informacyjnego, w tym polityki tematyczne,</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bezpieczeństwo w procesie nabywania, rozwoju, utrzymania i eksploatacji systemu informacyjnego, w tym testowanie systemu informacyjnego,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bezpieczeństwo fizyczne i środowiskowe uwzględniające kontrole dostępu,</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bezpieczeństwo zasobów ludzkich,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bezpieczeństwo i ciągłość łańcucha dostaw produktów ICT, usług ICT i procesów ICT, od których zależy świadczenie usługi, z uwzględnieniem związków pomiędzy bezpośrednim dostawcą sprzętu lub oprogramowania a podmiotem kluczowym lub podmiotem ważnym,</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wdrażanie, dokumentowanie, testowanie i utrzymywanie planów ciągłości działania umożliwiających ciągłe i niezakłócone świadczenie usługi oraz zapewniających poufność, integralność, dostępność i autentyczność informacji, planów awaryjnych oraz planów odtworzenia działalności umożliwiających odtworzenie systemu informacyjnego po zdarzeniu, które spowodowało straty przekraczające zdolności podmiotu do odbudowy za pomocą własnych środków,</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objęcie systemu informacyjnego wykorzystywanego do świadczenia usługi systemem monitorowania w trybie ciągłym,</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polityki i procedury oceny skuteczności środków technicznych i organizacyjnych,</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edukację z zakresu cyberbezpieczeństwa dla personelu podmiotu,</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podstawowe zasady cyberhigieny,</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w:t>
      </w:r>
      <w:r>
        <w:rPr>
          <w:rFonts w:ascii="Times New Roman"/>
          <w:b w:val="false"/>
          <w:i w:val="false"/>
          <w:color w:val="000000"/>
          <w:sz w:val="24"/>
          <w:lang w:val="pl-PL"/>
        </w:rPr>
        <w:t>polityki i procedury stosowania kryptografii, w tym w stosownych przypadkach szyfrowania,</w:t>
      </w:r>
    </w:p>
    <w:p>
      <w:pPr>
        <w:spacing w:after="0"/>
        <w:ind w:left="746"/>
        <w:jc w:val="left"/>
        <w:textAlignment w:val="auto"/>
      </w:pPr>
      <w:r>
        <w:rPr>
          <w:rFonts w:ascii="Times New Roman"/>
          <w:b w:val="false"/>
          <w:i w:val="false"/>
          <w:color w:val="000000"/>
          <w:sz w:val="24"/>
          <w:lang w:val="pl-PL"/>
        </w:rPr>
        <w:t>l)</w:t>
      </w:r>
      <w:r>
        <w:rPr>
          <w:rFonts w:ascii="Times New Roman"/>
          <w:b w:val="false"/>
          <w:i w:val="false"/>
          <w:color w:val="000000"/>
          <w:sz w:val="24"/>
          <w:lang w:val="pl-PL"/>
        </w:rPr>
        <w:t xml:space="preserve"> </w:t>
      </w:r>
      <w:r>
        <w:rPr>
          <w:rFonts w:ascii="Times New Roman"/>
          <w:b w:val="false"/>
          <w:i w:val="false"/>
          <w:color w:val="000000"/>
          <w:sz w:val="24"/>
          <w:lang w:val="pl-PL"/>
        </w:rPr>
        <w:t>stosowanie bezpiecznych środków komunikacji elektronicznej w ramach krajowego systemu cyberbezpieczeństwa oraz wewnątrz podmiotu, uwzględniających uwierzytelnianie wieloskładnikowe w stosownych przypadkach,</w:t>
      </w:r>
    </w:p>
    <w:p>
      <w:pPr>
        <w:spacing w:after="0"/>
        <w:ind w:left="746"/>
        <w:jc w:val="left"/>
        <w:textAlignment w:val="auto"/>
      </w:pPr>
      <w:r>
        <w:rPr>
          <w:rFonts w:ascii="Times New Roman"/>
          <w:b w:val="false"/>
          <w:i w:val="false"/>
          <w:color w:val="000000"/>
          <w:sz w:val="24"/>
          <w:lang w:val="pl-PL"/>
        </w:rPr>
        <w:t>m)</w:t>
      </w:r>
      <w:r>
        <w:rPr>
          <w:rFonts w:ascii="Times New Roman"/>
          <w:b w:val="false"/>
          <w:i w:val="false"/>
          <w:color w:val="000000"/>
          <w:sz w:val="24"/>
          <w:lang w:val="pl-PL"/>
        </w:rPr>
        <w:t xml:space="preserve"> </w:t>
      </w:r>
      <w:r>
        <w:rPr>
          <w:rFonts w:ascii="Times New Roman"/>
          <w:b w:val="false"/>
          <w:i w:val="false"/>
          <w:color w:val="000000"/>
          <w:sz w:val="24"/>
          <w:lang w:val="pl-PL"/>
        </w:rPr>
        <w:t>zarządzanie aktywami,</w:t>
      </w:r>
    </w:p>
    <w:p>
      <w:pPr>
        <w:spacing w:after="0"/>
        <w:ind w:left="746"/>
        <w:jc w:val="left"/>
        <w:textAlignment w:val="auto"/>
      </w:pPr>
      <w:r>
        <w:rPr>
          <w:rFonts w:ascii="Times New Roman"/>
          <w:b w:val="false"/>
          <w:i w:val="false"/>
          <w:color w:val="000000"/>
          <w:sz w:val="24"/>
          <w:lang w:val="pl-PL"/>
        </w:rPr>
        <w:t>n)</w:t>
      </w:r>
      <w:r>
        <w:rPr>
          <w:rFonts w:ascii="Times New Roman"/>
          <w:b w:val="false"/>
          <w:i w:val="false"/>
          <w:color w:val="000000"/>
          <w:sz w:val="24"/>
          <w:lang w:val="pl-PL"/>
        </w:rPr>
        <w:t xml:space="preserve"> </w:t>
      </w:r>
      <w:r>
        <w:rPr>
          <w:rFonts w:ascii="Times New Roman"/>
          <w:b w:val="false"/>
          <w:i w:val="false"/>
          <w:color w:val="000000"/>
          <w:sz w:val="24"/>
          <w:lang w:val="pl-PL"/>
        </w:rPr>
        <w:t>polityki kontroli dostępu;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zbieranie informacji o cyberzagrożeniach i podatnościach na incydenty systemu informacyjnego wykorzystywanego do świadczenia usługi;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zarządzanie incydentami;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stosowanie środków zapobiegających i ograniczających wpływ incydentów na bezpieczeństwo systemu informacyjnego wykorzystywanego do świadczenia usługi, w 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stosowanie mechanizmów zapewniających poufność, integralność, dostępność i autentyczność danych przetwarzanych w systemie informacyjnym,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regularne przeprowadzanie aktualizacji oprogramowania, stosownie do zaleceń producenta, z uwzględnieniem analizy wpływu aktualizacji na bezpieczeństwo świadczonej usługi oraz poziomu krytyczności poszczególnych aktualizacji,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ochronę przed nieuprawnioną modyfikacją w systemie informacyjnym,</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niezwłoczne podejmowanie działań po dostrzeżeniu podatności lub cyberzagrożeń, w tym również czasowe ograniczenie ruchu sieciowego przychodzącego do infrastruktury podmiotu kluczowego lub podmiotu ważnego, które może skutkować zakłóceniem usług świadczonych przez ten podmiot, z uwzględnieniem konieczność minimalizacji skutków ograniczenia dostępności tych usług, z uwagi na podjęte działania.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Wdrażając środki, o których mowa w ust. 1 pkt 2 lit. e, podmiot kluczowy lub podmiot ważny uwzględnia: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podatności związane z dostawcą sprzętu lub oprogramowania;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ogólną jakość produktów ICT, usług ICT i procesów ICT pochodzących od dostawcy sprzętu lub oprogramowania;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wyniki skoordynowanej oceny bezpieczeństwa przeprowadzonej przez Grupę Współpracy,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dyrektywy Parlamentu Europejskiego i Rady (UE) 2022/2555 z dnia 14 grudnia 2022 r. w sprawie środków na rzecz wysokiego wspólnego poziomu cyberbezpieczeństwa na terytorium Unii, zmieniającej rozporządzenie (UE) nr 910/2014 i dyrektywę (UE) 2018/1972 oraz uchylającej dyrektywę (UE) 2016/1148 (dyrektywa NIS 2) (Dz. Urz. UE L 333 z 27.12.2022, str. 80), zwanej dalej "dyrektywą 2022/2555";</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wyniki postępowania, o którym mowa w art. 67b.</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ważny będący podmiotem publicznym albo podmiotem, o którym mowa w </w:t>
      </w:r>
      <w:r>
        <w:rPr>
          <w:rFonts w:ascii="Times New Roman"/>
          <w:b w:val="false"/>
          <w:i w:val="false"/>
          <w:color w:val="1b1b1b"/>
          <w:sz w:val="24"/>
          <w:lang w:val="pl-PL"/>
        </w:rPr>
        <w:t>art. 7 ust. 1 pkt 1-4</w:t>
      </w:r>
      <w:r>
        <w:rPr>
          <w:rFonts w:ascii="Times New Roman"/>
          <w:b w:val="false"/>
          <w:i w:val="false"/>
          <w:color w:val="000000"/>
          <w:sz w:val="24"/>
          <w:lang w:val="pl-PL"/>
        </w:rPr>
        <w:t xml:space="preserve"> i </w:t>
      </w:r>
      <w:r>
        <w:rPr>
          <w:rFonts w:ascii="Times New Roman"/>
          <w:b w:val="false"/>
          <w:i w:val="false"/>
          <w:color w:val="1b1b1b"/>
          <w:sz w:val="24"/>
          <w:lang w:val="pl-PL"/>
        </w:rPr>
        <w:t>6-7</w:t>
      </w:r>
      <w:r>
        <w:rPr>
          <w:rFonts w:ascii="Times New Roman"/>
          <w:b w:val="false"/>
          <w:i w:val="false"/>
          <w:color w:val="000000"/>
          <w:sz w:val="24"/>
          <w:lang w:val="pl-PL"/>
        </w:rPr>
        <w:t xml:space="preserve"> ustawy z dnia 20 lipca 2018 r. - Prawo o szkolnictwie wyższym i nauce, niebędącym organizacją badawczą w zakresie, w jakim realizuje zadania publiczne z wykorzystaniem systemów informacyjnych, nie stosuje przepisu ust. 1. Podmiot, o którym mowa w zdaniu pierwszym, opracowuje, wdraża, realizuje, monitoruje i utrzymuje w systemach informacyjnych kontrolowanych przez ten podmiot system zarządzania bezpieczeństwem informacji spełniający wymogi określone w załączniku nr 4 do ustawy.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Podmiot publiczny uwzględnia w systemie zarządzania bezpieczeństwem informacji system informacyjny dostarczany przez inny podmiot publiczny, w tym na podstawie przepisów ustawy, w szczególności system informacyjny zapewniający działanie rejestru publicznego w zakresie odpowiadającym zakresowi kompetencji tego podmiotu, wynikającym z polityki bezpieczeństwa danego systemu informacyjnego lub przepisów prawa regulujących sposób działania tego systemu.</w:t>
      </w:r>
    </w:p>
    <w:p>
      <w:pPr>
        <w:spacing w:before="80" w:after="0"/>
        <w:ind w:left="0"/>
        <w:jc w:val="left"/>
        <w:textAlignment w:val="auto"/>
      </w:pPr>
      <w:r>
        <w:rPr>
          <w:rFonts w:ascii="Times New Roman"/>
          <w:b/>
          <w:i w:val="false"/>
          <w:color w:val="000000"/>
          <w:sz w:val="24"/>
          <w:lang w:val="pl-PL"/>
        </w:rPr>
        <w:t xml:space="preserve"> Art. 8a. </w:t>
      </w:r>
      <w:r>
        <w:rPr>
          <w:rFonts w:ascii="Times New Roman"/>
          <w:b/>
          <w:i w:val="false"/>
          <w:color w:val="000000"/>
          <w:sz w:val="24"/>
          <w:vertAlign w:val="superscript"/>
          <w:lang w:val="pl-PL"/>
        </w:rPr>
        <w:t>86</w:t>
      </w:r>
      <w:r>
        <w:rPr>
          <w:rFonts w:ascii="Times New Roman"/>
          <w:b/>
          <w:i w:val="false"/>
          <w:color w:val="000000"/>
          <w:sz w:val="24"/>
          <w:lang w:val="pl-PL"/>
        </w:rPr>
        <w:t xml:space="preserve"> </w:t>
      </w:r>
      <w:r>
        <w:rPr>
          <w:rFonts w:ascii="Times New Roman"/>
          <w:b/>
          <w:i w:val="false"/>
          <w:color w:val="000000"/>
          <w:sz w:val="24"/>
          <w:lang w:val="pl-PL"/>
        </w:rPr>
        <w:t>[Delegacja ustawowa - szczegółowe wymagania dla systemu zarządzania bezpieczeństwem informacji]</w:t>
      </w:r>
    </w:p>
    <w:p>
      <w:pPr>
        <w:spacing w:after="0"/>
        <w:ind w:left="0"/>
        <w:jc w:val="left"/>
        <w:textAlignment w:val="auto"/>
      </w:pPr>
      <w:r>
        <w:rPr>
          <w:rFonts w:ascii="Times New Roman"/>
          <w:b w:val="false"/>
          <w:i w:val="false"/>
          <w:color w:val="000000"/>
          <w:sz w:val="24"/>
          <w:lang w:val="pl-PL"/>
        </w:rPr>
        <w:t>Rada Ministrów może określić, w drodze rozporządzenia, odrębnie dla danego rodzaju działalności wykonywanej przez podmioty kluczowe lub podmioty ważne, szczegółowe wymagania dla systemu zarządzania bezpieczeństwem informacji, o którym mowa w art. 8 ust. 1, biorąc pod uwagę rekomendacje międzynarodowe o charakterze specjalistycznym, w tym rekomendacje Agencji Unii Europejskiej do spraw Cyberbezpieczeństwa, zwanej dalej "ENISA", wielkość podmiotu, skalę działalności wykonywanej przez te podmioty oraz potrzebę podejmowania przez te podmioty działań zapewniających cyberbezpieczeństwo.</w:t>
      </w:r>
    </w:p>
    <w:p>
      <w:pPr>
        <w:spacing w:before="80" w:after="0"/>
        <w:ind w:left="0"/>
        <w:jc w:val="left"/>
        <w:textAlignment w:val="auto"/>
      </w:pPr>
      <w:r>
        <w:rPr>
          <w:rFonts w:ascii="Times New Roman"/>
          <w:b/>
          <w:i w:val="false"/>
          <w:color w:val="000000"/>
          <w:sz w:val="24"/>
          <w:lang w:val="pl-PL"/>
        </w:rPr>
        <w:t xml:space="preserve"> Art. 8b. </w:t>
      </w:r>
      <w:r>
        <w:rPr>
          <w:rFonts w:ascii="Times New Roman"/>
          <w:b/>
          <w:i w:val="false"/>
          <w:color w:val="000000"/>
          <w:sz w:val="24"/>
          <w:vertAlign w:val="superscript"/>
          <w:lang w:val="pl-PL"/>
        </w:rPr>
        <w:t>87</w:t>
      </w:r>
      <w:r>
        <w:rPr>
          <w:rFonts w:ascii="Times New Roman"/>
          <w:b/>
          <w:i w:val="false"/>
          <w:color w:val="000000"/>
          <w:sz w:val="24"/>
          <w:lang w:val="pl-PL"/>
        </w:rPr>
        <w:t xml:space="preserve"> </w:t>
      </w:r>
      <w:r>
        <w:rPr>
          <w:rFonts w:ascii="Times New Roman"/>
          <w:b/>
          <w:i w:val="false"/>
          <w:color w:val="000000"/>
          <w:sz w:val="24"/>
          <w:lang w:val="pl-PL"/>
        </w:rPr>
        <w:t>[Stosowanie środków zarządzania ryzykiem]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Dostawcy usług DNS, rejestry nazw domen najwyższego poziomu (TLD), dostawcy usług chmurowych, dostawcy usługi centrum przetwarzania danych, dostawcy sieci dostarczania treści, dostawcy usług zarządzanych, dostawcy usług zarządzanych w zakresie cyberbezpieczeństwa, dostawcy internetowych platform handlowych, dostawcy wyszukiwarek internetowych oraz dostawcy platform usług sieci społecznościowych stosują, w ramach systemu, o którym mowa w art. 8 ust. 1, środki zarządzania ryzykiem określone w </w:t>
      </w:r>
      <w:r>
        <w:rPr>
          <w:rFonts w:ascii="Times New Roman"/>
          <w:b w:val="false"/>
          <w:i w:val="false"/>
          <w:color w:val="1b1b1b"/>
          <w:sz w:val="24"/>
          <w:lang w:val="pl-PL"/>
        </w:rPr>
        <w:t>rozporządzeniu</w:t>
      </w:r>
      <w:r>
        <w:rPr>
          <w:rFonts w:ascii="Times New Roman"/>
          <w:b w:val="false"/>
          <w:i w:val="false"/>
          <w:color w:val="000000"/>
          <w:sz w:val="24"/>
          <w:lang w:val="pl-PL"/>
        </w:rPr>
        <w:t xml:space="preserve"> wykonawczym Komisji (UE) 2024/2690 z dnia 17 października 2024 r. ustanawiającym zasady stosowania dyrektywy (UE) 2022/2555 w odniesieniu do wymogów technicznych i metodycznych dotyczących środków zarządzania ryzykiem w cyberbezpieczeństwie oraz doprecyzowujące przypadki, w których incydent uznaje się za poważny w odniesieniu do dostawców usług DNS, rejestrów nazw TLD, dostawców usług chmurowych, dostawców usług ośrodka przetwarzania danych, dostawców sieci dostarczania treści, dostawców usług zarządzanych, dostawców usług zarządzanych w zakresie bezpieczeństwa, dostawców internetowych platform handlowych, wyszukiwarek internetowych i platform usług sieci społecznościowych oraz dostawców usług zaufania (Dz. Urz. UE L 2024/2690 z 18.10.2024, z późn. zm.).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systemu, o którym mowa w art. 8 ust. 1, podmioty kluczowe lub podmioty ważne, inne niż określone w ust. 1, stosują środki zarządzania ryzykiem dla danego rodzaju podmiotu określone w aktach wykonawczych Komisji Europejskiej, wydanych na podstawie </w:t>
      </w:r>
      <w:r>
        <w:rPr>
          <w:rFonts w:ascii="Times New Roman"/>
          <w:b w:val="false"/>
          <w:i w:val="false"/>
          <w:color w:val="1b1b1b"/>
          <w:sz w:val="24"/>
          <w:lang w:val="pl-PL"/>
        </w:rPr>
        <w:t>art. 21 ust. 5</w:t>
      </w:r>
      <w:r>
        <w:rPr>
          <w:rFonts w:ascii="Times New Roman"/>
          <w:b w:val="false"/>
          <w:i w:val="false"/>
          <w:color w:val="000000"/>
          <w:sz w:val="24"/>
          <w:lang w:val="pl-PL"/>
        </w:rPr>
        <w:t xml:space="preserve"> dyrektywy 2022/2555.</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kluczowe lub podmioty ważne z podsektora energii elektrycznej, uznane za podmiot o dużym wpływie lub podmiot o krytycznym wpływie, o którym mowa w art. 52a ust. 2, dodatkowo stosują środki określone w </w:t>
      </w:r>
      <w:r>
        <w:rPr>
          <w:rFonts w:ascii="Times New Roman"/>
          <w:b w:val="false"/>
          <w:i w:val="false"/>
          <w:color w:val="1b1b1b"/>
          <w:sz w:val="24"/>
          <w:lang w:val="pl-PL"/>
        </w:rPr>
        <w:t>rozporządzeniu</w:t>
      </w:r>
      <w:r>
        <w:rPr>
          <w:rFonts w:ascii="Times New Roman"/>
          <w:b w:val="false"/>
          <w:i w:val="false"/>
          <w:color w:val="000000"/>
          <w:sz w:val="24"/>
          <w:lang w:val="pl-PL"/>
        </w:rPr>
        <w:t xml:space="preserve"> delegowanym Komisji (UE) 2024/1366 z dnia 11 marca 2024 r. uzupełniającym rozporządzenie Parlamentu Europejskiego i Rady (UE) 2019/943 poprzez ustanowienie kodeksu sieci dotyczącego zasad sektorowych w zakresie aspektów cyberbezpieczeństwa w transgranicznych przepływach energii elektrycznej (Dz. Urz. UE L 2024/1366 z 24.05.2024, z późn. zm.), zwanym dalej "rozporządzeniem 2024/1366".</w:t>
      </w:r>
    </w:p>
    <w:p>
      <w:pPr>
        <w:spacing w:before="80" w:after="0"/>
        <w:ind w:left="0"/>
        <w:jc w:val="left"/>
        <w:textAlignment w:val="auto"/>
      </w:pPr>
      <w:r>
        <w:rPr>
          <w:rFonts w:ascii="Times New Roman"/>
          <w:b/>
          <w:i w:val="false"/>
          <w:color w:val="000000"/>
          <w:sz w:val="24"/>
          <w:lang w:val="pl-PL"/>
        </w:rPr>
        <w:t xml:space="preserve"> Art. 8c. </w:t>
      </w:r>
      <w:r>
        <w:rPr>
          <w:rFonts w:ascii="Times New Roman"/>
          <w:b/>
          <w:i w:val="false"/>
          <w:color w:val="000000"/>
          <w:sz w:val="24"/>
          <w:vertAlign w:val="superscript"/>
          <w:lang w:val="pl-PL"/>
        </w:rPr>
        <w:t>88</w:t>
      </w:r>
      <w:r>
        <w:rPr>
          <w:rFonts w:ascii="Times New Roman"/>
          <w:b/>
          <w:i w:val="false"/>
          <w:color w:val="000000"/>
          <w:sz w:val="24"/>
          <w:lang w:val="pl-PL"/>
        </w:rPr>
        <w:t xml:space="preserve"> </w:t>
      </w:r>
      <w:r>
        <w:rPr>
          <w:rFonts w:ascii="Times New Roman"/>
          <w:b/>
          <w:i w:val="false"/>
          <w:color w:val="000000"/>
          <w:sz w:val="24"/>
          <w:lang w:val="pl-PL"/>
        </w:rPr>
        <w:t>[Odpowiedzialność kierownika podmiotu kluczowego lub podmiotu ważnego za wykonywanie obowiązków w zakresie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Kierownik podmiotu kluczowego lub podmiotu ważnego ponosi odpowiedzialność za wykonywanie obowiązków w zakresie cyberbezpieczeństwa przez podmiot kluczowy lub podmiot ważny, o których mowa w art. 7b ust. 4, art. 7c, art. 7f ust. 3, art. 8, art. 8d, art. 8e, art. 8f ust. 1 i 2, art. 9-12b, art. 14 i art. 15.</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gdy kierownikiem podmiotu kluczowego lub podmiotu ważnego jest organ wieloosobowy i nie została wskazana osoba odpowiedzialna, odpowiedzialność ponoszą wszyscy członkowie tego organu.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Kierownik podmiotu kluczowego lub podmiotu ważnego ponosi odpowiedzialność także wtedy, gdy niektóre z obowiązków albo wszystkie obowiązki zostały powierzone innej osobie za jej zgodą.</w:t>
      </w:r>
    </w:p>
    <w:p>
      <w:pPr>
        <w:spacing w:before="80" w:after="0"/>
        <w:ind w:left="0"/>
        <w:jc w:val="left"/>
        <w:textAlignment w:val="auto"/>
      </w:pPr>
      <w:r>
        <w:rPr>
          <w:rFonts w:ascii="Times New Roman"/>
          <w:b/>
          <w:i w:val="false"/>
          <w:color w:val="000000"/>
          <w:sz w:val="24"/>
          <w:lang w:val="pl-PL"/>
        </w:rPr>
        <w:t xml:space="preserve"> Art. 8d. </w:t>
      </w:r>
      <w:r>
        <w:rPr>
          <w:rFonts w:ascii="Times New Roman"/>
          <w:b/>
          <w:i w:val="false"/>
          <w:color w:val="000000"/>
          <w:sz w:val="24"/>
          <w:vertAlign w:val="superscript"/>
          <w:lang w:val="pl-PL"/>
        </w:rPr>
        <w:t>89</w:t>
      </w:r>
      <w:r>
        <w:rPr>
          <w:rFonts w:ascii="Times New Roman"/>
          <w:b/>
          <w:i w:val="false"/>
          <w:color w:val="000000"/>
          <w:sz w:val="24"/>
          <w:lang w:val="pl-PL"/>
        </w:rPr>
        <w:t xml:space="preserve"> </w:t>
      </w:r>
      <w:r>
        <w:rPr>
          <w:rFonts w:ascii="Times New Roman"/>
          <w:b/>
          <w:i w:val="false"/>
          <w:color w:val="000000"/>
          <w:sz w:val="24"/>
          <w:lang w:val="pl-PL"/>
        </w:rPr>
        <w:t>[Zadania kierownika podmiotu kluczowego lub podmiotu ważnego]</w:t>
      </w:r>
    </w:p>
    <w:p>
      <w:pPr>
        <w:spacing w:after="0"/>
        <w:ind w:left="0"/>
        <w:jc w:val="left"/>
        <w:textAlignment w:val="auto"/>
      </w:pPr>
      <w:r>
        <w:rPr>
          <w:rFonts w:ascii="Times New Roman"/>
          <w:b w:val="false"/>
          <w:i w:val="false"/>
          <w:color w:val="000000"/>
          <w:sz w:val="24"/>
          <w:lang w:val="pl-PL"/>
        </w:rPr>
        <w:t>Kierownik podmiotu kluczowego lub podmiotu ważnego: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podejmuje decyzje w zakresie przygotowania, wdrażania, stosowania, przeglądu i nadzoru systemu zarządzania bezpieczeństwem informacji w podmiocie;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planuje adekwatne środki finansowe na realizację obowiązków z zakresu cyberbezpieczeństwa;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przydziela zadania z zakresu cyberbezpieczeństwa w tym podmiocie i nadzoruje ich wykonanie;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zapewnia, że personel podmiotu jest świadomy obowiązków z zakresu cyberbezpieczeństwa i zna wewnętrzne regulacje podmiotu w tym zakresie;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zapewnia zgodność działania tego podmiotu z przepisami prawa oraz z wewnętrznymi regulacjami podmiotu.</w:t>
      </w:r>
    </w:p>
    <w:p>
      <w:pPr>
        <w:spacing w:before="80" w:after="0"/>
        <w:ind w:left="0"/>
        <w:jc w:val="left"/>
        <w:textAlignment w:val="auto"/>
      </w:pPr>
      <w:r>
        <w:rPr>
          <w:rFonts w:ascii="Times New Roman"/>
          <w:b/>
          <w:i w:val="false"/>
          <w:color w:val="000000"/>
          <w:sz w:val="24"/>
          <w:lang w:val="pl-PL"/>
        </w:rPr>
        <w:t xml:space="preserve"> Art. 8e. </w:t>
      </w:r>
      <w:r>
        <w:rPr>
          <w:rFonts w:ascii="Times New Roman"/>
          <w:b/>
          <w:i w:val="false"/>
          <w:color w:val="000000"/>
          <w:sz w:val="24"/>
          <w:vertAlign w:val="superscript"/>
          <w:lang w:val="pl-PL"/>
        </w:rPr>
        <w:t>90</w:t>
      </w:r>
      <w:r>
        <w:rPr>
          <w:rFonts w:ascii="Times New Roman"/>
          <w:b/>
          <w:i w:val="false"/>
          <w:color w:val="000000"/>
          <w:sz w:val="24"/>
          <w:lang w:val="pl-PL"/>
        </w:rPr>
        <w:t xml:space="preserve"> </w:t>
      </w:r>
      <w:r>
        <w:rPr>
          <w:rFonts w:ascii="Times New Roman"/>
          <w:b/>
          <w:i w:val="false"/>
          <w:color w:val="000000"/>
          <w:sz w:val="24"/>
          <w:lang w:val="pl-PL"/>
        </w:rPr>
        <w:t>[Szkolenia w zakresie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Kierownik podmiotu kluczowego lub podmiotu ważnego oraz osoba, której powierzono obowiązki kierownika w zakresie cyberbezpieczeństwa, raz w roku kalendarzowym przechodzi szkolenie.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Zakres szkolenia obejmuje wykonywanie obowiązków, o których mowa w art. 7b ust. 4, art. 7c, art. 7f ust. 3, art. 8, art. 8d, art. 8f ust. 1 i 2, art. 9-12b, art. 14 i art. 15.</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Udział w szkoleniu jest udokumentowany.</w:t>
      </w:r>
    </w:p>
    <w:p>
      <w:pPr>
        <w:spacing w:before="80" w:after="0"/>
        <w:ind w:left="0"/>
        <w:jc w:val="left"/>
        <w:textAlignment w:val="auto"/>
      </w:pPr>
      <w:r>
        <w:rPr>
          <w:rFonts w:ascii="Times New Roman"/>
          <w:b/>
          <w:i w:val="false"/>
          <w:color w:val="000000"/>
          <w:sz w:val="24"/>
          <w:lang w:val="pl-PL"/>
        </w:rPr>
        <w:t xml:space="preserve"> Art. 8f. </w:t>
      </w:r>
      <w:r>
        <w:rPr>
          <w:rFonts w:ascii="Times New Roman"/>
          <w:b/>
          <w:i w:val="false"/>
          <w:color w:val="000000"/>
          <w:sz w:val="24"/>
          <w:vertAlign w:val="superscript"/>
          <w:lang w:val="pl-PL"/>
        </w:rPr>
        <w:t>91</w:t>
      </w:r>
      <w:r>
        <w:rPr>
          <w:rFonts w:ascii="Times New Roman"/>
          <w:b/>
          <w:i w:val="false"/>
          <w:color w:val="000000"/>
          <w:sz w:val="24"/>
          <w:lang w:val="pl-PL"/>
        </w:rPr>
        <w:t xml:space="preserve"> </w:t>
      </w:r>
      <w:r>
        <w:rPr>
          <w:rFonts w:ascii="Times New Roman"/>
          <w:b/>
          <w:i w:val="false"/>
          <w:color w:val="000000"/>
          <w:sz w:val="24"/>
          <w:lang w:val="pl-PL"/>
        </w:rPr>
        <w:t>[Wymóg niekaralności za przestępstwa przeciwko ochronie informacji]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rozpoczęciem realizacji zadań, o których mowa w art. 8 lub art. 11, osoba, która ma te zadania realizować, przedstawia podmiotowi kluczowemu lub podmiotowi ważnemu informację o osobie z Krajowego Rejestru Karnego stwierdzającą niekaralność za przestępstwa przeciwko ochronie informacji. Kierownik podmiotu kluczowego lub podmiotu ważnego dopuszcza osobę do realizacji zadań, o których mowa w art. 8 lub art. 11, po otrzymaniu informacji, o której mowa w zdaniu pierwszym.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wzywa osobę realizującą zadania, o których mowa w art. 8 lub art. 11, do ponownego przedstawienia informacji o osobie z Krajowego Rejestru Karnego, jeżeli poweźmie uzasadnione podejrzenie, że osoba ta została skazana za przestępstwo przeciwko ochronie informacji.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Wymagania, o których mowa w ust. 1 i 2, uznaje się za spełnione, jeżeli osoba realizująca zadania, o których mowa w art. 8 i art. 11, posiada ważne poświadczenie bezpieczeństwa upoważniające do dostępu do informacji niejawnych o klauzuli "poufne" lub wyższej.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Osoba skazana prawomocnym wyrokiem sądu za przestępstwa przeciwko ochronie informacji nie może realizować zadań, o których mowa w art. 8 lub art. 11.</w:t>
      </w:r>
    </w:p>
    <w:p>
      <w:pPr>
        <w:spacing w:before="80" w:after="0"/>
        <w:ind w:left="0"/>
        <w:jc w:val="left"/>
        <w:textAlignment w:val="auto"/>
      </w:pPr>
      <w:r>
        <w:rPr>
          <w:rFonts w:ascii="Times New Roman"/>
          <w:b/>
          <w:i w:val="false"/>
          <w:color w:val="000000"/>
          <w:sz w:val="24"/>
          <w:lang w:val="pl-PL"/>
        </w:rPr>
        <w:t xml:space="preserve"> Art. 8g. </w:t>
      </w:r>
      <w:r>
        <w:rPr>
          <w:rFonts w:ascii="Times New Roman"/>
          <w:b/>
          <w:i w:val="false"/>
          <w:color w:val="000000"/>
          <w:sz w:val="24"/>
          <w:vertAlign w:val="superscript"/>
          <w:lang w:val="pl-PL"/>
        </w:rPr>
        <w:t>92</w:t>
      </w:r>
      <w:r>
        <w:rPr>
          <w:rFonts w:ascii="Times New Roman"/>
          <w:b/>
          <w:i w:val="false"/>
          <w:color w:val="000000"/>
          <w:sz w:val="24"/>
          <w:lang w:val="pl-PL"/>
        </w:rPr>
        <w:t xml:space="preserve"> </w:t>
      </w:r>
      <w:r>
        <w:rPr>
          <w:rFonts w:ascii="Times New Roman"/>
          <w:b/>
          <w:i w:val="false"/>
          <w:color w:val="000000"/>
          <w:sz w:val="24"/>
          <w:lang w:val="pl-PL"/>
        </w:rPr>
        <w:t>[Obowiązki informacyjne podmiotu kluczowego będącego dostawcą usług zarządzanych w zakresie cyberbezpieczeństwa świadczącym usługę obsługi incydentów]</w:t>
      </w:r>
    </w:p>
    <w:p>
      <w:pPr>
        <w:spacing w:after="0"/>
        <w:ind w:left="0"/>
        <w:jc w:val="left"/>
        <w:textAlignment w:val="auto"/>
      </w:pPr>
      <w:r>
        <w:rPr>
          <w:rFonts w:ascii="Times New Roman"/>
          <w:b w:val="false"/>
          <w:i w:val="false"/>
          <w:color w:val="000000"/>
          <w:sz w:val="24"/>
          <w:lang w:val="pl-PL"/>
        </w:rPr>
        <w:t>Podmiot kluczowy będący dostawcą usług zarządzanych w zakresie cyberbezpieczeństwa świadczącym usługę obsługi incydentów udostępnia na swojej stronie internetowej co najmniej następujące informacje na temat swojej działalności: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(firmę);</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zakres działania, w 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oferowany rodzaj wsparcia,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zasady współpracy i wymiany informacji,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politykę komunikacji;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oferowane usługi oraz politykę obsługi incydentów i koordynacji incydentów;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dane kontaktowe, w 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adres ze wskazaniem strefy czasowej,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numer telefonu, adres poczty elektronicznej oraz wskazanie innych dostępnych środków komunikacji elektronicznej z dostawcą,</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dane o wykorzystywanych kluczach publicznych i sposobach szyfrowania komunikacji z dostawcą,</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sposoby kontaktu z dostawcą, w tym sposób zgłaszania incydentów.</w:t>
      </w:r>
    </w:p>
    <w:p>
      <w:pPr>
        <w:spacing w:before="80" w:after="0"/>
        <w:ind w:left="0"/>
        <w:jc w:val="left"/>
        <w:textAlignment w:val="auto"/>
      </w:pPr>
      <w:r>
        <w:rPr>
          <w:rFonts w:ascii="Times New Roman"/>
          <w:b/>
          <w:i w:val="false"/>
          <w:color w:val="000000"/>
          <w:sz w:val="24"/>
          <w:lang w:val="pl-PL"/>
        </w:rPr>
        <w:t xml:space="preserve"> Art. 8h. </w:t>
      </w:r>
      <w:r>
        <w:rPr>
          <w:rFonts w:ascii="Times New Roman"/>
          <w:b/>
          <w:i w:val="false"/>
          <w:color w:val="000000"/>
          <w:sz w:val="24"/>
          <w:vertAlign w:val="superscript"/>
          <w:lang w:val="pl-PL"/>
        </w:rPr>
        <w:t>93</w:t>
      </w:r>
      <w:r>
        <w:rPr>
          <w:rFonts w:ascii="Times New Roman"/>
          <w:b/>
          <w:i w:val="false"/>
          <w:color w:val="000000"/>
          <w:sz w:val="24"/>
          <w:lang w:val="pl-PL"/>
        </w:rPr>
        <w:t xml:space="preserve"> </w:t>
      </w:r>
      <w:r>
        <w:rPr>
          <w:rFonts w:ascii="Times New Roman"/>
          <w:b/>
          <w:i w:val="false"/>
          <w:color w:val="000000"/>
          <w:sz w:val="24"/>
          <w:lang w:val="pl-PL"/>
        </w:rPr>
        <w:t>[Wymiana informacji, ostrzeżeń i zaleceń dotyczących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kluczowe, podmioty ważne, CSIRT MON, CSIRT NASK, CSIRT GOV, CSIRT sektorowy, dostawcy sprzętu lub oprogramowania dla tych podmiotów lub organizacje społeczne zrzeszające podmioty kluczowe lub podmioty ważne mogą wymieniać między sobą informacje dotyczące cyberbezpieczeństwa, w tym informacje o cyberzagrożeniach, potencjalnych zdarzeniach dla cyberbezpieczeństwa, podatnościach, technikach i procedurach, oznakach naruszenia integralności systemu informacyjnego, wrogich taktykach, a także informacje o grupach przestępczych, ostrzeżenia dotyczące cyberbezpieczeństwa i zalecenia dotyczące konfiguracji narzędzi bezpieczeństwa mających wykrywać cyberataki.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Wymiana informacji, ostrzeżeń i zaleceń, o których mowa w ust. 1, jest dopuszczalna,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 na celu zapobieganie incydentom, ich wykrywanie, reagowanie na nie, przywracanie normalnego działania po incydentach lub łagodzenie ich skutków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zwiększa poziom cyberbezpieczeństwa, w szczególności przez podnoszenie świadomości na temat cyberzagrożeń, ograniczanie lub utrudnianie ich rozprzestrzeniania się, eliminowanie i ujawnianie podatności, techniki wykrywania cyberzagrożeń, ograniczania ich zasięgu i zapobiegania im, strategie ograniczania ryzyka, etapy reagowania i przywracania normalnego działania lub sprzyjanie współpracy między podmiotami publicznymi i prywatnymi w badaniach nad cyberzagrożeniami.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Wymiana informacji, ostrzeżeń i zaleceń, o których mowa w ust. 1, odbywa się za pomocą systemu teleinformatycznego, o którym mowa w art. 46 ust. 1, systemów teleinformatycznych zapewnianych przez organy właściwe do spraw cyberbezpieczeństwa lub w drodze porozumień, o których mowa w ust. 6.</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Wymieniając informacje, o których mowa w ust. 1, podmioty kluczowe lub podmioty ważne oznaczają zakres odbiorców tych informacji. Odbiorca informacji może ją udostępniać w zakresie określonym przez wytwórcę informacji.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Wymieniając informacje, o których mowa w ust. 1, za pomocą systemu teleinformatycznego, o którym mowa w art. 46 w ust. 1, nie przekazuje się danych osobowych.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Podmioty kluczowe, podmioty ważne, CSIRT MON, CSIRT NASK, CSIRT GOV, CSIRT sektorowy, dostawcy sprzętu lub oprogramowania dla tych podmiotów lub organizacje społeczne zrzeszające podmioty kluczowe lub podmioty ważne mogą zawierać porozumienia w sprawie wymiany informacji, o których mowa w ust. 1, w szczególności określając sposób wymiany informacji i zachowania informacji w poufności pomiędzy stronami porozumienia.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Koszty wykonania porozumień, o których mowa w ust. 6, są ponoszone w równych częściach przez wszystkie strony, chyba że w danym porozumieniu postanowiono inaczej.</w:t>
      </w:r>
    </w:p>
    <w:p>
      <w:pPr>
        <w:spacing w:before="80" w:after="0"/>
        <w:ind w:left="0"/>
        <w:jc w:val="left"/>
        <w:textAlignment w:val="auto"/>
      </w:pPr>
      <w:r>
        <w:rPr>
          <w:rFonts w:ascii="Times New Roman"/>
          <w:b/>
          <w:i w:val="false"/>
          <w:color w:val="000000"/>
          <w:sz w:val="24"/>
          <w:lang w:val="pl-PL"/>
        </w:rPr>
        <w:t xml:space="preserve"> Art. 8i. </w:t>
      </w:r>
      <w:r>
        <w:rPr>
          <w:rFonts w:ascii="Times New Roman"/>
          <w:b/>
          <w:i w:val="false"/>
          <w:color w:val="000000"/>
          <w:sz w:val="24"/>
          <w:vertAlign w:val="superscript"/>
          <w:lang w:val="pl-PL"/>
        </w:rPr>
        <w:t>94</w:t>
      </w:r>
      <w:r>
        <w:rPr>
          <w:rFonts w:ascii="Times New Roman"/>
          <w:b/>
          <w:i w:val="false"/>
          <w:color w:val="000000"/>
          <w:sz w:val="24"/>
          <w:lang w:val="pl-PL"/>
        </w:rPr>
        <w:t xml:space="preserve"> </w:t>
      </w:r>
      <w:r>
        <w:rPr>
          <w:rFonts w:ascii="Times New Roman"/>
          <w:b/>
          <w:i w:val="false"/>
          <w:color w:val="000000"/>
          <w:sz w:val="24"/>
          <w:lang w:val="pl-PL"/>
        </w:rPr>
        <w:t>[Przepisy stosowane do podmiotów kluczowych lub podmiotów ważnych z sektora bankowości i infrastruktury rynków finansowych]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podmiotów kluczowych lub podmiotów ważnych z sektora bankowości i infrastruktury rynków finansowych nie stosuje się przepisów ustawy dotyczących systemu zarządzania bezpieczeństwem informacji lub zgłaszania poważnych incydentów, z wyjątkiem art. 3a, art. 5 ust. 1-3, art. 7-7m, art. 8 ust. 1 pkt 1 i pkt 2 lit. j, art. 8h, art. 9, art. 11 ust. 1 pkt 5 i 6, art. 13, art. 16, art. 26a ust. 2-4, art. 32, art. 33 ust. 5, 7 i 8, art. 36a, art. 36b, art. 37, art. 43, art. 45 ust. 3, art. 46 ust. 1 pkt 1, 2, 4-7 i ust. 4-6, art. 67a, art. 67c, art. 67d oraz art. 67g-67i.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podmiotów kluczowych lub podmiotów ważnych z sektora bankowości i infrastruktury rynków finansowych stosuje się odpowiednio przepisy art. 8c-8f, art. 12 ust. 7 oraz art. 31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podmiotów kluczowych lub podmiotów ważnych z sektora bankowości i infrastruktury rynków finansowych stosuje się przepisy rozdziałów 11 i 14 ustawy w zakresie art. 3a, art. 5 ust. 1-3, art. 7-7m, art. 8 ust. 1 pkt 1 i pkt 2 lit. j, art. 8h, art. 9, art. 11 ust. 1 pkt 5 i 6, art. 13, art. 16, art. 26a ust. 2-4, art. 32, art. 33 ust. 5, 7 i 8, art. 36a, art. 36b, art. 37, art. 43, art. 45 ust. 3, art. 46 ust. 1 pkt 1, 2, 4-7 i ust. 4-6, art. 67a, art. 67c, art. 67d, art. 67g-67i oraz stosowanych odpowiednio przepisów art. 8c-8f, art. 12 ust. 7 oraz art. 31 ust. 1.</w:t>
      </w:r>
    </w:p>
    <w:p>
      <w:pPr>
        <w:spacing w:before="80" w:after="0"/>
        <w:ind w:left="0"/>
        <w:jc w:val="left"/>
        <w:textAlignment w:val="auto"/>
      </w:pPr>
      <w:r>
        <w:rPr>
          <w:rFonts w:ascii="Times New Roman"/>
          <w:b/>
          <w:i w:val="false"/>
          <w:color w:val="000000"/>
          <w:sz w:val="24"/>
          <w:lang w:val="pl-PL"/>
        </w:rPr>
        <w:t xml:space="preserve"> Art. 8j. </w:t>
      </w:r>
      <w:r>
        <w:rPr>
          <w:rFonts w:ascii="Times New Roman"/>
          <w:b/>
          <w:i w:val="false"/>
          <w:color w:val="000000"/>
          <w:sz w:val="24"/>
          <w:vertAlign w:val="superscript"/>
          <w:lang w:val="pl-PL"/>
        </w:rPr>
        <w:t>95</w:t>
      </w:r>
      <w:r>
        <w:rPr>
          <w:rFonts w:ascii="Times New Roman"/>
          <w:b/>
          <w:i w:val="false"/>
          <w:color w:val="000000"/>
          <w:sz w:val="24"/>
          <w:lang w:val="pl-PL"/>
        </w:rPr>
        <w:t xml:space="preserve"> </w:t>
      </w:r>
      <w:r>
        <w:rPr>
          <w:rFonts w:ascii="Times New Roman"/>
          <w:b/>
          <w:i w:val="false"/>
          <w:color w:val="000000"/>
          <w:sz w:val="24"/>
          <w:lang w:val="pl-PL"/>
        </w:rPr>
        <w:t>[Stosowanie przez służby specjalne środków zapobiegających i ograniczających wpływ incydentów na bezpieczeństwo systemu informacyjnego]</w:t>
      </w:r>
    </w:p>
    <w:p>
      <w:pPr>
        <w:spacing w:after="0"/>
        <w:ind w:left="0"/>
        <w:jc w:val="left"/>
        <w:textAlignment w:val="auto"/>
      </w:pPr>
      <w:r>
        <w:rPr>
          <w:rFonts w:ascii="Times New Roman"/>
          <w:b w:val="false"/>
          <w:i w:val="false"/>
          <w:color w:val="000000"/>
          <w:sz w:val="24"/>
          <w:lang w:val="pl-PL"/>
        </w:rPr>
        <w:t>Służby specjalne mogą stosować środki zapobiegające i ograniczające wpływ incydentów na bezpieczeństwo systemu informacyjnego wykorzystywanego do realizacji zadań w tym niezwłocznie podejmować działania po dostrzeżeniu podatności lub cyberzagrożeń, w tym również dokonywać czasowego ograniczenia ruchu sieciowego przychodzącego do infrastruktury służb specjalnych, który może skutkować zakłóceniem realizacji zadań służb specjalnych, mając na uwadze konieczność minimalizacji skutków ograniczenia możliwości realizacji tych działań.</w:t>
      </w:r>
    </w:p>
    <w:p>
      <w:pPr>
        <w:spacing w:before="80" w:after="0"/>
        <w:ind w:left="0"/>
        <w:jc w:val="left"/>
        <w:textAlignment w:val="auto"/>
      </w:pPr>
      <w:r>
        <w:rPr>
          <w:rFonts w:ascii="Times New Roman"/>
          <w:b/>
          <w:i w:val="false"/>
          <w:color w:val="000000"/>
          <w:sz w:val="24"/>
          <w:lang w:val="pl-PL"/>
        </w:rPr>
        <w:t xml:space="preserve"> Art. 9. </w:t>
      </w:r>
      <w:r>
        <w:rPr>
          <w:rFonts w:ascii="Times New Roman"/>
          <w:b/>
          <w:i w:val="false"/>
          <w:color w:val="000000"/>
          <w:sz w:val="24"/>
          <w:vertAlign w:val="superscript"/>
          <w:lang w:val="pl-PL"/>
        </w:rPr>
        <w:t>96</w:t>
      </w:r>
      <w:r>
        <w:rPr>
          <w:rFonts w:ascii="Times New Roman"/>
          <w:b/>
          <w:i w:val="false"/>
          <w:color w:val="000000"/>
          <w:sz w:val="24"/>
          <w:lang w:val="pl-PL"/>
        </w:rPr>
        <w:t xml:space="preserve"> </w:t>
      </w:r>
      <w:r>
        <w:rPr>
          <w:rFonts w:ascii="Times New Roman"/>
          <w:b/>
          <w:i w:val="false"/>
          <w:color w:val="000000"/>
          <w:sz w:val="24"/>
          <w:lang w:val="pl-PL"/>
        </w:rPr>
        <w:t>[Obowiązek wyznaczenia osób odpowiedzialnych za utrzymywanie kontaktów z podmiotami krajowego systemu cyberbezpieczeństwa oraz z innymi podmiotami kluczowymi lub podmiotami ważnymi; zapewnienie użytkownikowi usługi dostępu do wiedzy w zakresie zagrożeń cyberbezpieczeństwa; obowiązek zapewnienia możliwości zgłoszenia cyberzagrożenia, incydentu lub podatności związanych ze świadczoną usługą]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wyznacza co najmniej dwie osoby odpowiedzialne za utrzymywanie kontaktów z podmiotami krajowego systemu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zapewnia użytkownikowi usługi dostępu do wiedzy pozwalającej na zrozumienie cyberzagrożeń i stosowanie skutecznych sposobów zabezpieczania się przed tymi zagrożeniami w zakresie związanym ze świadczonymi usługami, w szczególności przez udostępnianie informacji na ten temat na swojej stronie internetowej;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zapewnia użytkownikowi usługi możliwość zgłoszenia cyberzagrożenia, incydentu lub podatności związanych ze świadczoną usługą;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 uzyskaniu wpisu podmiotu do wykazu rozpoczyna korzystanie z systemu teleinformatycznego, o którym mowa w art. 46 ust. 1.</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kluczowy lub podmiot ważny będący mikro- lub małym przedsiębiorcą, o którym mowa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651/2014/UE, wyznacza co najmniej jedną osobę odpowiedzialną za utrzymywanie kontaktów z innymi podmiotami kluczowymi lub podmiotami ważnymi.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ważny będący podmiotem publicznym wyznacza co najmniej jedną osobę odpowiedzialną za utrzymywanie kontaktów z innymi podmiotami kluczowymi lub podmiotami ważnymi.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Obowiązek, o którym mowa w ust. 1 pkt 2, może być zrealizowany przez zamieszczenie na stronie internetowej podmiotu hiperłącza do stron internetowych organu właściwego do spraw cyberbezpieczeństwa, CSIRT MON, CSIRT NASK, CSIRT GOV lub CSIRT sektorowego.</w:t>
      </w:r>
    </w:p>
    <w:p>
      <w:pPr>
        <w:spacing w:before="80" w:after="0"/>
        <w:ind w:left="0"/>
        <w:jc w:val="left"/>
        <w:textAlignment w:val="auto"/>
      </w:pPr>
      <w:r>
        <w:rPr>
          <w:rFonts w:ascii="Times New Roman"/>
          <w:b/>
          <w:i w:val="false"/>
          <w:color w:val="000000"/>
          <w:sz w:val="24"/>
          <w:lang w:val="pl-PL"/>
        </w:rPr>
        <w:t xml:space="preserve"> Art. 10. </w:t>
      </w:r>
      <w:r>
        <w:rPr>
          <w:rFonts w:ascii="Times New Roman"/>
          <w:b/>
          <w:i w:val="false"/>
          <w:color w:val="000000"/>
          <w:sz w:val="24"/>
          <w:vertAlign w:val="superscript"/>
          <w:lang w:val="pl-PL"/>
        </w:rPr>
        <w:t>97</w:t>
      </w:r>
      <w:r>
        <w:rPr>
          <w:rFonts w:ascii="Times New Roman"/>
          <w:b/>
          <w:i w:val="false"/>
          <w:color w:val="000000"/>
          <w:sz w:val="24"/>
          <w:lang w:val="pl-PL"/>
        </w:rPr>
        <w:t xml:space="preserve"> </w:t>
      </w:r>
      <w:r>
        <w:rPr>
          <w:rFonts w:ascii="Times New Roman"/>
          <w:b/>
          <w:i w:val="false"/>
          <w:color w:val="000000"/>
          <w:sz w:val="24"/>
          <w:lang w:val="pl-PL"/>
        </w:rPr>
        <w:t>[Obowiązek opracowania, stosowania i aktualizacji dokumentacji dotyczącej bezpieczeństwa systemu informacyjnego wykorzystywanego w procesie świadczenia usługi]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opracowuje, stosuje i aktualizuje dokumentację dotyczącą bezpieczeństwa systemu informacyjnego wykorzystywanego w procesie świadczenia usługi.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dokumentacji dotyczącej bezpieczeństwa systemu informacyjnego wykorzystywanego w procesie świadczenia usługi, o której mowa w ust. 1, zalicza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dokumentację normatywną;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dokumentację operacyjną.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Dokumentację normatywną stanowią: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dokumentacja systemu zarządzania bezpieczeństwem informacji;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dokumentacja ochrony infrastruktury, z wykorzystaniem której jest świadczona usługa, obejmująca: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charakterystykę usługi oraz infrastruktury, w której świadczona jest usługa,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ocenę aktualnego stanu ochrony infrastruktury,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szacowanie ryzyka dla obiektów infrastruktury,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plan postępowania z ryzykiem,</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opis zabezpieczeń technicznych obiektów infrastruktury,</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zasady organizacji i wykonywania ochrony fizycznej infrastruktury,</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specjalistycznej uzbrojonej formacji ochronnej, o której mowa w </w:t>
      </w:r>
      <w:r>
        <w:rPr>
          <w:rFonts w:ascii="Times New Roman"/>
          <w:b w:val="false"/>
          <w:i w:val="false"/>
          <w:color w:val="1b1b1b"/>
          <w:sz w:val="24"/>
          <w:lang w:val="pl-PL"/>
        </w:rPr>
        <w:t>art. 2 pkt 7</w:t>
      </w:r>
      <w:r>
        <w:rPr>
          <w:rFonts w:ascii="Times New Roman"/>
          <w:b w:val="false"/>
          <w:i w:val="false"/>
          <w:color w:val="000000"/>
          <w:sz w:val="24"/>
          <w:lang w:val="pl-PL"/>
        </w:rPr>
        <w:t xml:space="preserve"> ustawy z dnia 22 sierpnia 1997 r. o ochronie osób i mienia (Dz. U. z 2025 r. poz. 532), chroniącej infrastrukturę - jeżeli występuje;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dokumentacja systemu zarządzania ciągłością działania;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dokumentacja techniczna systemu informacyjnego wykorzystywanego w procesie świadczenia usługi;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dokumentacja wynikająca ze specyfiki świadczonej usługi w danym sektorze lub podsektorze.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Dokumentację operacyjną stanowią zapisy poświadczające wykonywanie czynności wymaganych przez postanowienia zawarte w dokumentacji normatywnej, w tym automatycznie generowane zapisy w dziennikach systemów informacyjnych.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Dokumentacja dotycząca bezpieczeństwa systemu informacyjnego wykorzystywanego w procesie świadczenia usługi może być prowadzona w postaci papierowej lub w postaci elektronicznej.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jest obowiązany do ustanowienia nadzoru nad dokumentacją dotyczącą bezpieczeństwa systemu informacyjnego wykorzystywanego w procesie świadczenia usługi, zapewniającego: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dostępność dokumentów wyłącznie dla osób upoważnionych, zgodnie z realizowanymi przez nie zadaniami;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ochronę dokumentów przed uszkodzeniem, zniszczeniem, utratą, nieuprawnionym dostępem, niewłaściwym użyciem lub utratą integralności;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oznaczanie kolejnych wersji dokumentów umożliwiające określenie zmian dokonanych w tych dokumentach.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kluczowy lub podmiot ważny przechowuje dokumentację dotyczącą bezpieczeństwa systemu informacyjnego wykorzystywanego w procesie świadczenia usługi przez okres co najmniej 2 lat od dnia jej wycofania z użytkowania lub zakończenia świadczenia usługi, liczony od dnia 1 stycznia roku następującego po roku, w którym wygasa okres jej przechowywania. Przepisu nie stosuje się do podmiotów podlegających </w:t>
      </w:r>
      <w:r>
        <w:rPr>
          <w:rFonts w:ascii="Times New Roman"/>
          <w:b w:val="false"/>
          <w:i w:val="false"/>
          <w:color w:val="1b1b1b"/>
          <w:sz w:val="24"/>
          <w:lang w:val="pl-PL"/>
        </w:rPr>
        <w:t>ustawie</w:t>
      </w:r>
      <w:r>
        <w:rPr>
          <w:rFonts w:ascii="Times New Roman"/>
          <w:b w:val="false"/>
          <w:i w:val="false"/>
          <w:color w:val="000000"/>
          <w:sz w:val="24"/>
          <w:lang w:val="pl-PL"/>
        </w:rPr>
        <w:t xml:space="preserve"> z dnia 14 lipca 1983 r. o narodowym zasobie archiwalnym i archiwach (Dz. U. z 2020 r. poz. 164 oraz z 2025 r. poz. 1173).</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Zniszczenie wycofanej z użytkowania dokumentacji dotyczącej bezpieczeństwa systemu informacyjnego wykorzystywanego w procesie świadczenia usługi potwierdza się protokołem brakowania zawierającym w szczególności: datę protokołu, oznaczenie niszczonej dokumentacji, opis sposobu zniszczenia, dane osoby zatwierdzającej protokół. Protokoły brakowania dokumentacji dotyczącej bezpieczeństwa systemu informacyjnego wykorzystywanego w procesie świadczenia usługi są przechowywane w sposób trwały.</w:t>
      </w:r>
    </w:p>
    <w:p>
      <w:pPr>
        <w:spacing w:before="80"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[Obowiązki w zakresie zgłaszania i obsługi incydentów]</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98</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zapewnia obsługę incydentu;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99</w:t>
      </w:r>
      <w:r>
        <w:rPr>
          <w:rFonts w:ascii="Times New Roman"/>
          <w:b w:val="false"/>
          <w:i w:val="false"/>
          <w:color w:val="000000"/>
          <w:sz w:val="24"/>
          <w:lang w:val="pl-PL"/>
        </w:rPr>
        <w:t xml:space="preserve"> </w:t>
      </w:r>
      <w:r>
        <w:rPr>
          <w:rFonts w:ascii="Times New Roman"/>
          <w:b w:val="false"/>
          <w:i w:val="false"/>
          <w:color w:val="000000"/>
          <w:sz w:val="24"/>
          <w:lang w:val="pl-PL"/>
        </w:rPr>
        <w:t>zapewnia dostęp do informacji o rejestrowanych incydentach właściwemu CSIRT MON, CSIRT NASK, CSIRT GOV lub CSIRT sektorowemu w zakresie niezbędnym do realizacji jego zadań;</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klasyfikuje incydent jako poważny na podstawie progów uznawania incydentu za poważny;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100</w:t>
      </w:r>
      <w:r>
        <w:rPr>
          <w:rFonts w:ascii="Times New Roman"/>
          <w:b w:val="false"/>
          <w:i w:val="false"/>
          <w:color w:val="000000"/>
          <w:sz w:val="24"/>
          <w:lang w:val="pl-PL"/>
        </w:rPr>
        <w:t xml:space="preserve"> </w:t>
      </w:r>
      <w:r>
        <w:rPr>
          <w:rFonts w:ascii="Times New Roman"/>
          <w:b w:val="false"/>
          <w:i w:val="false"/>
          <w:color w:val="000000"/>
          <w:sz w:val="24"/>
          <w:lang w:val="pl-PL"/>
        </w:rPr>
        <w:t>zgłasza wczesne ostrzeżenie o incydencie poważnym niezwłocznie, niepóźniej niż w ciągu 24 godzin od momentu jego wykrycia, do właściwego CSIRT sektorowego;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4a) </w:t>
      </w:r>
      <w:r>
        <w:rPr>
          <w:rFonts w:ascii="Times New Roman"/>
          <w:b w:val="false"/>
          <w:i w:val="false"/>
          <w:color w:val="000000"/>
          <w:sz w:val="24"/>
          <w:vertAlign w:val="superscript"/>
          <w:lang w:val="pl-PL"/>
        </w:rPr>
        <w:t>101</w:t>
      </w:r>
      <w:r>
        <w:rPr>
          <w:rFonts w:ascii="Times New Roman"/>
          <w:b w:val="false"/>
          <w:i w:val="false"/>
          <w:color w:val="000000"/>
          <w:sz w:val="24"/>
          <w:lang w:val="pl-PL"/>
        </w:rPr>
        <w:t xml:space="preserve"> </w:t>
      </w:r>
      <w:r>
        <w:rPr>
          <w:rFonts w:ascii="Times New Roman"/>
          <w:b w:val="false"/>
          <w:i w:val="false"/>
          <w:color w:val="000000"/>
          <w:sz w:val="24"/>
          <w:lang w:val="pl-PL"/>
        </w:rPr>
        <w:t>zgłasza incydent poważny niezwłocznie, niepóźniej niż w ciągu 72 godzin od momentu jego wykrycia, do właściwego CSIRT sektorowego;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4b) </w:t>
      </w:r>
      <w:r>
        <w:rPr>
          <w:rFonts w:ascii="Times New Roman"/>
          <w:b w:val="false"/>
          <w:i w:val="false"/>
          <w:color w:val="000000"/>
          <w:sz w:val="24"/>
          <w:vertAlign w:val="superscript"/>
          <w:lang w:val="pl-PL"/>
        </w:rPr>
        <w:t>102</w:t>
      </w:r>
      <w:r>
        <w:rPr>
          <w:rFonts w:ascii="Times New Roman"/>
          <w:b w:val="false"/>
          <w:i w:val="false"/>
          <w:color w:val="000000"/>
          <w:sz w:val="24"/>
          <w:lang w:val="pl-PL"/>
        </w:rPr>
        <w:t xml:space="preserve"> </w:t>
      </w:r>
      <w:r>
        <w:rPr>
          <w:rFonts w:ascii="Times New Roman"/>
          <w:b w:val="false"/>
          <w:i w:val="false"/>
          <w:color w:val="000000"/>
          <w:sz w:val="24"/>
          <w:lang w:val="pl-PL"/>
        </w:rPr>
        <w:t>przekazuje, na wniosek właściwego CSIRT sektorowego, sprawozdanie okresowe z obsługi incydentu poważnego;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4c) </w:t>
      </w:r>
      <w:r>
        <w:rPr>
          <w:rFonts w:ascii="Times New Roman"/>
          <w:b w:val="false"/>
          <w:i w:val="false"/>
          <w:color w:val="000000"/>
          <w:sz w:val="24"/>
          <w:vertAlign w:val="superscript"/>
          <w:lang w:val="pl-PL"/>
        </w:rPr>
        <w:t>103</w:t>
      </w:r>
      <w:r>
        <w:rPr>
          <w:rFonts w:ascii="Times New Roman"/>
          <w:b w:val="false"/>
          <w:i w:val="false"/>
          <w:color w:val="000000"/>
          <w:sz w:val="24"/>
          <w:lang w:val="pl-PL"/>
        </w:rPr>
        <w:t xml:space="preserve"> </w:t>
      </w:r>
      <w:r>
        <w:rPr>
          <w:rFonts w:ascii="Times New Roman"/>
          <w:b w:val="false"/>
          <w:i w:val="false"/>
          <w:color w:val="000000"/>
          <w:sz w:val="24"/>
          <w:lang w:val="pl-PL"/>
        </w:rPr>
        <w:t>przekazuje właściwemu CSIRT sektorowemu sprawozdanie końcowe z obsługi incydentu poważnego, niepóźniej niż w ciągu miesiąca od dnia zgłoszenia, o którym mowa w pkt 4a;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104</w:t>
      </w:r>
      <w:r>
        <w:rPr>
          <w:rFonts w:ascii="Times New Roman"/>
          <w:b w:val="false"/>
          <w:i w:val="false"/>
          <w:color w:val="000000"/>
          <w:sz w:val="24"/>
          <w:lang w:val="pl-PL"/>
        </w:rPr>
        <w:t xml:space="preserve"> </w:t>
      </w:r>
      <w:r>
        <w:rPr>
          <w:rFonts w:ascii="Times New Roman"/>
          <w:b w:val="false"/>
          <w:i w:val="false"/>
          <w:color w:val="000000"/>
          <w:sz w:val="24"/>
          <w:lang w:val="pl-PL"/>
        </w:rPr>
        <w:t>współdziała podczas obsługi incydentu poważnego i incydentu krytycznego z właściwym CSIRT MON, CSIRT NASK, CSIRT GOV lub CSIRT sektorowym, przekazując niezbędne dane, w tym dane osobowe;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usuwa podatności, o których mowa w </w:t>
      </w:r>
      <w:r>
        <w:rPr>
          <w:rFonts w:ascii="Times New Roman"/>
          <w:b w:val="false"/>
          <w:i w:val="false"/>
          <w:color w:val="1b1b1b"/>
          <w:sz w:val="24"/>
          <w:lang w:val="pl-PL"/>
        </w:rPr>
        <w:t>art. 32 ust. 2</w:t>
      </w:r>
      <w:r>
        <w:rPr>
          <w:rFonts w:ascii="Times New Roman"/>
          <w:b w:val="false"/>
          <w:i w:val="false"/>
          <w:color w:val="000000"/>
          <w:sz w:val="24"/>
          <w:lang w:val="pl-PL"/>
        </w:rPr>
        <w:t>, oraz informuje o ich usunięciu organ właściwy do spraw cyberbezpieczeństwa.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105</w:t>
      </w:r>
      <w:r>
        <w:rPr>
          <w:rFonts w:ascii="Times New Roman"/>
          <w:b w:val="false"/>
          <w:i w:val="false"/>
          <w:color w:val="000000"/>
          <w:sz w:val="24"/>
          <w:lang w:val="pl-PL"/>
        </w:rPr>
        <w:t xml:space="preserve"> </w:t>
      </w:r>
      <w:r>
        <w:rPr>
          <w:rFonts w:ascii="Times New Roman"/>
          <w:b w:val="false"/>
          <w:i w:val="false"/>
          <w:color w:val="000000"/>
          <w:sz w:val="24"/>
          <w:lang w:val="pl-PL"/>
        </w:rPr>
        <w:t>Dostawca usług zaufania zgłasza incydent poważny niezwłocznie, niepóźniej niż w ciągu 24 godzin od momentu jego wykrycia do właściwego CSIRT sektorowego.</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w:t>
      </w:r>
      <w:r>
        <w:rPr>
          <w:rFonts w:ascii="Times New Roman"/>
          <w:b w:val="false"/>
          <w:i w:val="false"/>
          <w:color w:val="000000"/>
          <w:sz w:val="24"/>
          <w:lang w:val="pl-PL"/>
        </w:rPr>
        <w:t>Wczesne ostrzeżenie, o którym mowa w ust. 1 pkt 4, zgłoszenie, o którym mowa w ust. 1 pkt 4a, sprawozdanie okresowe, o którym mowa w ust. 1 pkt 4b, sprawozdanie końcowe, o którym mowa w ust. 1 pkt 4c, oraz sprawozdanie z postępu obsługi incydentu poważnego, o którym mowa w art. 12b ust. 1, są przekazywane za pomocą systemu teleinformatycznego, o którym mowa w art. 46 ust. 1.</w:t>
      </w:r>
    </w:p>
    <w:p>
      <w:pPr>
        <w:spacing w:before="26" w:after="0"/>
        <w:ind w:left="0"/>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107</w:t>
      </w:r>
      <w:r>
        <w:rPr>
          <w:rFonts w:ascii="Times New Roman"/>
          <w:b w:val="false"/>
          <w:i w:val="false"/>
          <w:color w:val="000000"/>
          <w:sz w:val="24"/>
          <w:lang w:val="pl-PL"/>
        </w:rPr>
        <w:t xml:space="preserve"> </w:t>
      </w:r>
      <w:r>
        <w:rPr>
          <w:rFonts w:ascii="Times New Roman"/>
          <w:b w:val="false"/>
          <w:i w:val="false"/>
          <w:color w:val="000000"/>
          <w:sz w:val="24"/>
          <w:lang w:val="pl-PL"/>
        </w:rPr>
        <w:t>W przypadku zaistnienia poważnego cyberzagrożenia podmiot kluczowy lub podmiot ważny informuje użytkowników swoich usług, na których takie cyberzagrożenie może mieć wpływ, o możliwych środkach zapobiegawczych, które użytkownicy ci mogą podjąć. Podmiot kluczowy lub podmiot ważny informuje tych użytkowników o samym poważnym cyberzagrożeniu, jeżeli nie spowoduje to zwiększenia poziomu ryzyka dla bezpieczeństwa systemów informacyjnych.</w:t>
      </w:r>
    </w:p>
    <w:p>
      <w:pPr>
        <w:spacing w:before="26" w:after="0"/>
        <w:ind w:left="0"/>
        <w:jc w:val="left"/>
        <w:textAlignment w:val="auto"/>
      </w:pPr>
      <w:r>
        <w:rPr>
          <w:rFonts w:ascii="Times New Roman"/>
          <w:b w:val="false"/>
          <w:i w:val="false"/>
          <w:color w:val="000000"/>
          <w:sz w:val="24"/>
          <w:lang w:val="pl-PL"/>
        </w:rPr>
        <w:t xml:space="preserve">2b. </w:t>
      </w:r>
      <w:r>
        <w:rPr>
          <w:rFonts w:ascii="Times New Roman"/>
          <w:b w:val="false"/>
          <w:i w:val="false"/>
          <w:color w:val="000000"/>
          <w:sz w:val="24"/>
          <w:vertAlign w:val="superscript"/>
          <w:lang w:val="pl-PL"/>
        </w:rPr>
        <w:t>108</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informuje użytkowników swoich usług o incydencie poważnym, jeżeli ma on niekorzystny wpływ na świadczenie tych usług.</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109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110</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określi, w drodze rozporządzenia, progi uznania incydentu za poważny według rodzaju zdarzenia w poszczególnych sektorach i podsektorach określonych w załącznikach nr 1 i 2 do ustawy, z wyłączeniem progów uznania incydentu za poważny, dla podmiotów, dla których progi te określiła Komisja Europejska w akcie wykonawczym wydanym na podstawie </w:t>
      </w:r>
      <w:r>
        <w:rPr>
          <w:rFonts w:ascii="Times New Roman"/>
          <w:b w:val="false"/>
          <w:i w:val="false"/>
          <w:color w:val="1b1b1b"/>
          <w:sz w:val="24"/>
          <w:lang w:val="pl-PL"/>
        </w:rPr>
        <w:t>art. 23 ust. 11</w:t>
      </w:r>
      <w:r>
        <w:rPr>
          <w:rFonts w:ascii="Times New Roman"/>
          <w:b w:val="false"/>
          <w:i w:val="false"/>
          <w:color w:val="000000"/>
          <w:sz w:val="24"/>
          <w:lang w:val="pl-PL"/>
        </w:rPr>
        <w:t xml:space="preserve"> dyrektywy 2022/2555, wskazując w zależności od rodzaju zdarzenia, czy odnosi się ono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liczby użytkowników, których dotyczy zakłócenie świadczenia usługi,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czasu oddziaływania incydentu na świadczoną usługę,</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zasięgu geograficznego obszaru, którego dotyczy incydent,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innych czynników charakterystycznych dla danego sektora lub podsektora, jeżeli występują</w:t>
      </w:r>
    </w:p>
    <w:p>
      <w:pPr>
        <w:spacing w:before="25" w:after="0"/>
        <w:ind w:left="0"/>
        <w:jc w:val="left"/>
        <w:textAlignment w:val="auto"/>
      </w:pPr>
      <w:r>
        <w:rPr>
          <w:rFonts w:ascii="Times New Roman"/>
          <w:b w:val="false"/>
          <w:i w:val="false"/>
          <w:color w:val="000000"/>
          <w:sz w:val="24"/>
          <w:lang w:val="pl-PL"/>
        </w:rPr>
        <w:t>- kierując się potrzebą zapewnienia ochrony przed zagrożeniem życia lub zdrowia ludzi, znacznymi stratami majątkowymi oraz obniżeniem jakości świadczonej usługi.</w:t>
      </w:r>
    </w:p>
    <w:p>
      <w:pPr>
        <w:spacing w:before="80" w:after="0"/>
        <w:ind w:left="0"/>
        <w:jc w:val="left"/>
        <w:textAlignment w:val="auto"/>
      </w:pPr>
      <w:r>
        <w:rPr>
          <w:rFonts w:ascii="Times New Roman"/>
          <w:b/>
          <w:i w:val="false"/>
          <w:color w:val="000000"/>
          <w:sz w:val="24"/>
          <w:lang w:val="pl-PL"/>
        </w:rPr>
        <w:t xml:space="preserve"> Art. 12. </w:t>
      </w:r>
      <w:r>
        <w:rPr>
          <w:rFonts w:ascii="Times New Roman"/>
          <w:b/>
          <w:i w:val="false"/>
          <w:color w:val="000000"/>
          <w:sz w:val="24"/>
          <w:vertAlign w:val="superscript"/>
          <w:lang w:val="pl-PL"/>
        </w:rPr>
        <w:t>111</w:t>
      </w:r>
      <w:r>
        <w:rPr>
          <w:rFonts w:ascii="Times New Roman"/>
          <w:b/>
          <w:i w:val="false"/>
          <w:color w:val="000000"/>
          <w:sz w:val="24"/>
          <w:lang w:val="pl-PL"/>
        </w:rPr>
        <w:t xml:space="preserve"> </w:t>
      </w:r>
      <w:r>
        <w:rPr>
          <w:rFonts w:ascii="Times New Roman"/>
          <w:b/>
          <w:i w:val="false"/>
          <w:color w:val="000000"/>
          <w:sz w:val="24"/>
          <w:lang w:val="pl-PL"/>
        </w:rPr>
        <w:t>[Zgłoszenie wczesnego ostrzeżenia o incydencie poważnym; zgłoszenie incydentu poważnego]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Wczesne ostrzeżenie, o którym mowa w art. 11 ust. 1 pkt 4,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podmiotu zgłaszającego, w tym firmę przedsiębiorcy, numer z właściwego rejestru, siedzibę i adres;</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imię i nazwisko, numer telefonu służbowego oraz adres służbowej poczty elektronicznej osoby dokonującej zgłoszenia;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imię i nazwisko, numer telefonu służbowego oraz adres służbowej poczty elektronicznej osoby uprawnionej do składania wyjaśnień dotyczących zgłaszanych informacji;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momentu wystąpienia i wykrycia incydentu poważnego oraz czas jego trwania;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wskazanie, czy incydent poważny został wywołany działaniem bezprawnym lub działaniem w złej wierze, jeżeli możliwe jest dokonanie takiej oceny;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określenie, czy incydent dotyczy innych państw członkowskich Unii Europejskiej.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Wczesne ostrzeżenie, o którym mowa w art. 11 ust. 1 pkt 4, może zawierać wniosek o wskazanie wytycznych dotyczących możliwych do wdrożenia środków ograniczających skutki incydentu poważnego lub o dodatkowe wsparcie techniczne przy obsłudze incydentu. CSIRT sektorowy niepóźniej niż w ciągu 24 godzin przekazuje podmiotowi zgłaszającemu wytyczne dotyczące wdrożenia środków lub udziela dodatkowego wsparcia technicznego, a w przypadku incydentu poważnego wyczerpującego znamiona przestępstwa również informacje o sposobie zgłoszenia organom ścigania.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Zgłoszenie, o którym mowa w art. 11 ust. 1 pkt 4a,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opis wpływu incydentu poważnego na świadczenie usługi, w tym: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wskazanie usługi zgłaszającego, na którą incydent poważny miał wpływ,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liczbę użytkowników usługi, na których incydent poważny miał wpływ,</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zasięg geograficzny obszaru, którego dotyczy incydent poważny,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wpływ incydentu poważnego na świadczenie usługi przez inne podmioty;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opis przyczyn tego incydentu, sposób jego przebiegu oraz prawdopodobne skutki oddziaływania na systemy informacyjne lub świadczone usługi;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informacje o podjętych działaniach zapobiegawczych;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o podjętych działaniach naprawczych;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aktualizację informacji, o których mowa w ust. 1, jeżeli nastąpiła ich zmiana.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Zgłoszenie, o którym mowa w art. 11 ust. 1 pkt 4a, może zawierać także inne istotne informacje związane z przebiegiem incydentu poważnego lub podjętymi działaniami.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przekazuje informacje znane mu w chwili dokonywania zgłoszenia, o którym mowa w art. 11 ust. 1 pkt 4a, które uzupełnia w trakcie obsługi incydentu poważnego.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przekazuje, w niezbędnym zakresie, we wczesnym ostrzeżeniu, o którym mowa w art. 11 ust. 1 pkt 4, lub zgłoszeniu, o którym mowa w art. 11 ust. 1 pkt 4a, informacje stanowiące tajemnice prawnie chronione, w tym stanowiące tajemnicę przedsiębiorstwa, gdy jest to konieczne do realizacji zadań właściwego CSIRT MON, CSIRT NASK, CSIRT GOV lub CSIRT sektorowego.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Właściwy CSIRT MON, CSIRT NASK, CSIRT GOV lub CSIRT sektorowy może zwrócić się do podmiotu kluczowego lub podmiotu ważnego o uzupełnienie wczesnego ostrzeżenia, o którym mowa w art. 11 ust. 1 pkt 4, lub zgłoszenia, o którym mowa w art. 11 ust. 1 pkt 4a, o informacje, w tym informacje stanowiące tajemnice prawnie chronione, w zakresie niezbędnym do realizacji zadań, o których mowa w ustawie.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We wczesnym ostrzeżeniu, o którym mowa w art. 11 ust. 1 pkt 4, lub w zgłoszeniu, o którym mowa w art. 11 ust. 1 pkt 4a, podmiot kluczowy lub podmiot ważny oznacza informacje stanowiące tajemnice prawnie chronione, w tym stanowiące tajemnicę przedsiębiorstwa.</w:t>
      </w:r>
    </w:p>
    <w:p>
      <w:pPr>
        <w:spacing w:before="80" w:after="0"/>
        <w:ind w:left="0"/>
        <w:jc w:val="left"/>
        <w:textAlignment w:val="auto"/>
      </w:pPr>
      <w:r>
        <w:rPr>
          <w:rFonts w:ascii="Times New Roman"/>
          <w:b/>
          <w:i w:val="false"/>
          <w:color w:val="000000"/>
          <w:sz w:val="24"/>
          <w:lang w:val="pl-PL"/>
        </w:rPr>
        <w:t xml:space="preserve"> Art. 12a. </w:t>
      </w:r>
      <w:r>
        <w:rPr>
          <w:rFonts w:ascii="Times New Roman"/>
          <w:b/>
          <w:i w:val="false"/>
          <w:color w:val="000000"/>
          <w:sz w:val="24"/>
          <w:vertAlign w:val="superscript"/>
          <w:lang w:val="pl-PL"/>
        </w:rPr>
        <w:t>112</w:t>
      </w:r>
      <w:r>
        <w:rPr>
          <w:rFonts w:ascii="Times New Roman"/>
          <w:b/>
          <w:i w:val="false"/>
          <w:color w:val="000000"/>
          <w:sz w:val="24"/>
          <w:lang w:val="pl-PL"/>
        </w:rPr>
        <w:t xml:space="preserve"> </w:t>
      </w:r>
      <w:r>
        <w:rPr>
          <w:rFonts w:ascii="Times New Roman"/>
          <w:b/>
          <w:i w:val="false"/>
          <w:color w:val="000000"/>
          <w:sz w:val="24"/>
          <w:lang w:val="pl-PL"/>
        </w:rPr>
        <w:t>[Sprawozdanie końcowe z obsługi incydentu poważnego]</w:t>
      </w:r>
    </w:p>
    <w:p>
      <w:pPr>
        <w:spacing w:after="0"/>
        <w:ind w:left="0"/>
        <w:jc w:val="left"/>
        <w:textAlignment w:val="auto"/>
      </w:pPr>
      <w:r>
        <w:rPr>
          <w:rFonts w:ascii="Times New Roman"/>
          <w:b w:val="false"/>
          <w:i w:val="false"/>
          <w:color w:val="000000"/>
          <w:sz w:val="24"/>
          <w:lang w:val="pl-PL"/>
        </w:rPr>
        <w:t>Sprawozdanie końcowe, o którym mowa w art. 11 ust. 1 pkt 4c,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szczegółowy opis incydentu poważnego, w tym spowodowane zakłócenia i szkody;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rodzaj zagrożenia lub przyczynę, która prawdopodobnie była źródłem incydentu;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zastosowane i wdrażane środki ograniczające ryzyko;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transgraniczne skutki incydentu, jeżeli wystąpiły.</w:t>
      </w:r>
    </w:p>
    <w:p>
      <w:pPr>
        <w:spacing w:before="80" w:after="0"/>
        <w:ind w:left="0"/>
        <w:jc w:val="left"/>
        <w:textAlignment w:val="auto"/>
      </w:pPr>
      <w:r>
        <w:rPr>
          <w:rFonts w:ascii="Times New Roman"/>
          <w:b/>
          <w:i w:val="false"/>
          <w:color w:val="000000"/>
          <w:sz w:val="24"/>
          <w:lang w:val="pl-PL"/>
        </w:rPr>
        <w:t xml:space="preserve"> Art. 12b. </w:t>
      </w:r>
      <w:r>
        <w:rPr>
          <w:rFonts w:ascii="Times New Roman"/>
          <w:b/>
          <w:i w:val="false"/>
          <w:color w:val="000000"/>
          <w:sz w:val="24"/>
          <w:vertAlign w:val="superscript"/>
          <w:lang w:val="pl-PL"/>
        </w:rPr>
        <w:t>113</w:t>
      </w:r>
      <w:r>
        <w:rPr>
          <w:rFonts w:ascii="Times New Roman"/>
          <w:b/>
          <w:i w:val="false"/>
          <w:color w:val="000000"/>
          <w:sz w:val="24"/>
          <w:lang w:val="pl-PL"/>
        </w:rPr>
        <w:t xml:space="preserve"> </w:t>
      </w:r>
      <w:r>
        <w:rPr>
          <w:rFonts w:ascii="Times New Roman"/>
          <w:b/>
          <w:i w:val="false"/>
          <w:color w:val="000000"/>
          <w:sz w:val="24"/>
          <w:lang w:val="pl-PL"/>
        </w:rPr>
        <w:t>[Sprawozdanie z postępu obsługi incydentu poważnego]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gdy obsługa incydentu poważnego nie zakończyła się w terminie składania sprawozdania końcowego, o którym mowa w art. 11 ust. 1 pkt 4c, podmiot kluczowy lub podmiot ważny przekazuje właściwemu CSIRT sektorowemu sprawozdanie z postępu obsługi tego incydentu.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gdy obsługa incydentu poważnego nie zakończyła się w terminie składania sprawozdania końcowego, o którym mowa w art. 11 ust. 1 pkt 4c, podmiot kluczowy lub podmiot ważny przekazuje właściwemu CSIRT sektorowemu sprawozdanie końcowe niepóźniej niż w ciągu miesiąca od zakończenia obsługi incydentu poważnego.</w:t>
      </w:r>
    </w:p>
    <w:p>
      <w:pPr>
        <w:spacing w:before="80" w:after="0"/>
        <w:ind w:left="0"/>
        <w:jc w:val="left"/>
        <w:textAlignment w:val="auto"/>
      </w:pPr>
      <w:r>
        <w:rPr>
          <w:rFonts w:ascii="Times New Roman"/>
          <w:b/>
          <w:i w:val="false"/>
          <w:color w:val="000000"/>
          <w:sz w:val="24"/>
          <w:lang w:val="pl-PL"/>
        </w:rPr>
        <w:t xml:space="preserve"> Art. 12c. </w:t>
      </w:r>
      <w:r>
        <w:rPr>
          <w:rFonts w:ascii="Times New Roman"/>
          <w:b/>
          <w:i w:val="false"/>
          <w:color w:val="000000"/>
          <w:sz w:val="24"/>
          <w:vertAlign w:val="superscript"/>
          <w:lang w:val="pl-PL"/>
        </w:rPr>
        <w:t>114</w:t>
      </w:r>
      <w:r>
        <w:rPr>
          <w:rFonts w:ascii="Times New Roman"/>
          <w:b/>
          <w:i w:val="false"/>
          <w:color w:val="000000"/>
          <w:sz w:val="24"/>
          <w:lang w:val="pl-PL"/>
        </w:rPr>
        <w:t xml:space="preserve"> </w:t>
      </w:r>
      <w:r>
        <w:rPr>
          <w:rFonts w:ascii="Times New Roman"/>
          <w:b/>
          <w:i w:val="false"/>
          <w:color w:val="000000"/>
          <w:sz w:val="24"/>
          <w:lang w:val="pl-PL"/>
        </w:rPr>
        <w:t>[Obsługa i zgłaszanie incydentów w przypadku podmiotów ważnych będących podmiotami publicznymi]</w:t>
      </w:r>
    </w:p>
    <w:p>
      <w:pPr>
        <w:spacing w:after="0"/>
        <w:ind w:left="0"/>
        <w:jc w:val="left"/>
        <w:textAlignment w:val="auto"/>
      </w:pPr>
      <w:r>
        <w:rPr>
          <w:rFonts w:ascii="Times New Roman"/>
          <w:b w:val="false"/>
          <w:i w:val="false"/>
          <w:color w:val="000000"/>
          <w:sz w:val="24"/>
          <w:lang w:val="pl-PL"/>
        </w:rPr>
        <w:t>Do podmiotu ważnego będącego podmiotem publicznym stosuje się przepisy art. 11 i art. 12, z wyjątkiem przepisów o przekazywaniu wczesnego ostrzeżenia, sprawozdania okresowego, sprawozdania z postępu obsługi incydentu i sprawozdania końcowego.</w:t>
      </w:r>
    </w:p>
    <w:p>
      <w:pPr>
        <w:spacing w:before="80" w:after="0"/>
        <w:ind w:left="0"/>
        <w:jc w:val="left"/>
        <w:textAlignment w:val="auto"/>
      </w:pPr>
      <w:r>
        <w:rPr>
          <w:rFonts w:ascii="Times New Roman"/>
          <w:b/>
          <w:i w:val="false"/>
          <w:color w:val="000000"/>
          <w:sz w:val="24"/>
          <w:lang w:val="pl-PL"/>
        </w:rPr>
        <w:t xml:space="preserve"> Art. 13. </w:t>
      </w:r>
      <w:r>
        <w:rPr>
          <w:rFonts w:ascii="Times New Roman"/>
          <w:b/>
          <w:i w:val="false"/>
          <w:color w:val="000000"/>
          <w:sz w:val="24"/>
          <w:vertAlign w:val="superscript"/>
          <w:lang w:val="pl-PL"/>
        </w:rPr>
        <w:t>115</w:t>
      </w:r>
      <w:r>
        <w:rPr>
          <w:rFonts w:ascii="Times New Roman"/>
          <w:b/>
          <w:i w:val="false"/>
          <w:color w:val="000000"/>
          <w:sz w:val="24"/>
          <w:lang w:val="pl-PL"/>
        </w:rPr>
        <w:t xml:space="preserve"> </w:t>
      </w:r>
      <w:r>
        <w:rPr>
          <w:rFonts w:ascii="Times New Roman"/>
          <w:b/>
          <w:i w:val="false"/>
          <w:color w:val="000000"/>
          <w:sz w:val="24"/>
          <w:lang w:val="pl-PL"/>
        </w:rPr>
        <w:t>[Informacje przekazywane do właściwego CSIRT]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mogą przekazywać do właściwego CSIRT MON, CSIRT NASK, CSIRT GOV lub CSIRT sektorowego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innych incydentach;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cyberzagrożeniach;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wynikach szacowania ryzyka;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podatnościach;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potencjalnych zdarzeniach dla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wykorzystywanych technologiach.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Informacje, o których mowa w ust. 1, są przekazywane w postaci elektronicznej za pomocą systemu teleinformatycznego, o którym mowa w art. 46 ust. 1, a w przypadku braku możliwości przekazania w postaci elektronicznej przy użyciu innych dostępnych środków komunikacji.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oznacza informacje, o których mowa w ust. 1, stanowiące tajemnice prawnie chronione, w tym stanowiące tajemnicę przedsiębiorstwa.</w:t>
      </w:r>
    </w:p>
    <w:p>
      <w:pPr>
        <w:spacing w:before="80" w:after="0"/>
        <w:ind w:left="0"/>
        <w:jc w:val="left"/>
        <w:textAlignment w:val="auto"/>
      </w:pPr>
      <w:r>
        <w:rPr>
          <w:rFonts w:ascii="Times New Roman"/>
          <w:b/>
          <w:i w:val="false"/>
          <w:color w:val="000000"/>
          <w:sz w:val="24"/>
          <w:lang w:val="pl-PL"/>
        </w:rPr>
        <w:t xml:space="preserve"> Art. 14. </w:t>
      </w:r>
      <w:r>
        <w:rPr>
          <w:rFonts w:ascii="Times New Roman"/>
          <w:b/>
          <w:i w:val="false"/>
          <w:color w:val="000000"/>
          <w:sz w:val="24"/>
          <w:vertAlign w:val="superscript"/>
          <w:lang w:val="pl-PL"/>
        </w:rPr>
        <w:t>116</w:t>
      </w:r>
      <w:r>
        <w:rPr>
          <w:rFonts w:ascii="Times New Roman"/>
          <w:b/>
          <w:i w:val="false"/>
          <w:color w:val="000000"/>
          <w:sz w:val="24"/>
          <w:lang w:val="pl-PL"/>
        </w:rPr>
        <w:t xml:space="preserve"> </w:t>
      </w:r>
      <w:r>
        <w:rPr>
          <w:rFonts w:ascii="Times New Roman"/>
          <w:b/>
          <w:i w:val="false"/>
          <w:color w:val="000000"/>
          <w:sz w:val="24"/>
          <w:lang w:val="pl-PL"/>
        </w:rPr>
        <w:t>[Powołanie wewnętrznych struktur odpowiedzialnych za cyberbezpieczeństwo lub zawarcie umowy z dostawcą usług zarządzanych w zakresie cyberbezpieczeństwa]</w:t>
      </w:r>
    </w:p>
    <w:p>
      <w:pPr>
        <w:spacing w:after="0"/>
        <w:ind w:left="0"/>
        <w:jc w:val="left"/>
        <w:textAlignment w:val="auto"/>
      </w:pPr>
      <w:r>
        <w:rPr>
          <w:rFonts w:ascii="Times New Roman"/>
          <w:b w:val="false"/>
          <w:i w:val="false"/>
          <w:color w:val="000000"/>
          <w:sz w:val="24"/>
          <w:lang w:val="pl-PL"/>
        </w:rPr>
        <w:t>Podmiot kluczowy lub podmiot ważny w celu realizacji zadań, o których mowa w art. 8 oraz w art. 9-13, powołuje wewnętrzne struktury odpowiedzialne za cyberbezpieczeństwo lub zawiera umowę z dostawcą usług zarządzanych w zakresie cyberbezpieczeństwa.</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[Audyt bezpieczeństwa systemu informacyjnego wykorzystywanego w procesie świadczenia usługi]</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w:t>
      </w:r>
      <w:r>
        <w:rPr>
          <w:rFonts w:ascii="Times New Roman"/>
          <w:b w:val="false"/>
          <w:i w:val="false"/>
          <w:color w:val="000000"/>
          <w:sz w:val="24"/>
          <w:lang w:val="pl-PL"/>
        </w:rPr>
        <w:t>Podmiot kluczowy przeprowadza, na własny koszt, co najmniej raz na 3 lata, audyt bezpieczeństwa systemu informacyjnego wykorzystywanego w procesie świadczenia usługi, zwany dalej "audytem", licząc od dnia sporządzenia i podpisania przez audytorów przeprowadzających audyt raportu z ostatniego audytu.</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118</w:t>
      </w:r>
      <w:r>
        <w:rPr>
          <w:rFonts w:ascii="Times New Roman"/>
          <w:b w:val="false"/>
          <w:i w:val="false"/>
          <w:color w:val="000000"/>
          <w:sz w:val="24"/>
          <w:lang w:val="pl-PL"/>
        </w:rPr>
        <w:t xml:space="preserve"> </w:t>
      </w:r>
      <w:r>
        <w:rPr>
          <w:rFonts w:ascii="Times New Roman"/>
          <w:b w:val="false"/>
          <w:i w:val="false"/>
          <w:color w:val="000000"/>
          <w:sz w:val="24"/>
          <w:lang w:val="pl-PL"/>
        </w:rPr>
        <w:t>Podmiot kluczowy przedstawia w postaci elektronicznej kopię raportu z przeprowadzonego audytu organowi właściwemu do spraw cyberbezpieczeństwa, w terminie 3 dni roboczych od dnia jego otrzymania przez podmiot kluczowy lub podmiot ważny.</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119</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nakazać podmiotowi kluczowemu w każdym czasie lub podmiotowi ważnemu w przypadku wystąpienia incydentu poważnego lub innego naruszenia przepisów ustawy przez ten podmiot, w drodze decyzji, przeprowadzenie zewnętrznego audytu bezpieczeństwa systemu informacyjnego wykorzystywanego w procesie świadczenia usługi, wraz z określeniem terminu przekazania kopii raportu z przeprowadzonego audytu i wskazaniem rodzaju podmiotów uprawnionych do przeprowadzenia audytu. Organ właściwy do spraw cyberbezpieczeństwa może również określić zakres audytu, o którym mowa w zdaniu pierwszym.</w:t>
      </w:r>
    </w:p>
    <w:p>
      <w:pPr>
        <w:spacing w:before="26" w:after="0"/>
        <w:ind w:left="0"/>
        <w:jc w:val="left"/>
        <w:textAlignment w:val="auto"/>
      </w:pPr>
      <w:r>
        <w:rPr>
          <w:rFonts w:ascii="Times New Roman"/>
          <w:b w:val="false"/>
          <w:i w:val="false"/>
          <w:color w:val="000000"/>
          <w:sz w:val="24"/>
          <w:lang w:val="pl-PL"/>
        </w:rPr>
        <w:t xml:space="preserve">1c. </w:t>
      </w:r>
      <w:r>
        <w:rPr>
          <w:rFonts w:ascii="Times New Roman"/>
          <w:b w:val="false"/>
          <w:i w:val="false"/>
          <w:color w:val="000000"/>
          <w:sz w:val="24"/>
          <w:vertAlign w:val="superscript"/>
          <w:lang w:val="pl-PL"/>
        </w:rPr>
        <w:t>120</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1b, podlega natychmiastowemu wykonaniu.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Audyt może być przeprowadzony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jednostkę oceniającą zgodność, akredytowaną zgodnie z przepisami </w:t>
      </w:r>
      <w:r>
        <w:rPr>
          <w:rFonts w:ascii="Times New Roman"/>
          <w:b w:val="false"/>
          <w:i w:val="false"/>
          <w:color w:val="1b1b1b"/>
          <w:sz w:val="24"/>
          <w:lang w:val="pl-PL"/>
        </w:rPr>
        <w:t>ustawy</w:t>
      </w:r>
      <w:r>
        <w:rPr>
          <w:rFonts w:ascii="Times New Roman"/>
          <w:b w:val="false"/>
          <w:i w:val="false"/>
          <w:color w:val="000000"/>
          <w:sz w:val="24"/>
          <w:lang w:val="pl-PL"/>
        </w:rPr>
        <w:t xml:space="preserve"> z dnia 13 kwietnia 2016 r. o systemach oceny zgodności i nadzoru rynku (Dz. U. z 2025 r. poz. 568), w zakresie właściwym do podejmowanych ocen bezpieczeństwa systemów informacyjnych;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co najmniej dwóch audytorów posiadających: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certyfikaty określone w przepisach wydanych na podstawie </w:t>
      </w:r>
      <w:r>
        <w:rPr>
          <w:rFonts w:ascii="Times New Roman"/>
          <w:b w:val="false"/>
          <w:i w:val="false"/>
          <w:color w:val="1b1b1b"/>
          <w:sz w:val="24"/>
          <w:lang w:val="pl-PL"/>
        </w:rPr>
        <w:t>ust. 8</w:t>
      </w:r>
      <w:r>
        <w:rPr>
          <w:rFonts w:ascii="Times New Roman"/>
          <w:b w:val="false"/>
          <w:i w:val="false"/>
          <w:color w:val="000000"/>
          <w:sz w:val="24"/>
          <w:lang w:val="pl-PL"/>
        </w:rPr>
        <w:t xml:space="preserve">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co najmniej trzyletnią praktykę w zakresie audytu bezpieczeństwa systemów informacyjnych, lub</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co najmniej dwuletnią praktykę w zakresie audytu bezpieczeństwa systemów informacyjnych i legitymujących się dyplomem ukończenia studiów podyplomowych w zakresie audytu bezpieczeństwa systemów informacyjnych, wydanym przez jednostkę organizacyjną, która w dniu wydania dyplomu była uprawniona, zgodnie z odrębnymi przepisami, do nadawania stopnia naukowego doktora nauk ekonomicznych, technicznych lub prawnych;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121</w:t>
      </w:r>
      <w:r>
        <w:rPr>
          <w:rFonts w:ascii="Times New Roman"/>
          <w:b w:val="false"/>
          <w:i w:val="false"/>
          <w:color w:val="000000"/>
          <w:sz w:val="24"/>
          <w:lang w:val="pl-PL"/>
        </w:rPr>
        <w:t xml:space="preserve"> </w:t>
      </w:r>
      <w:r>
        <w:rPr>
          <w:rFonts w:ascii="Times New Roman"/>
          <w:b w:val="false"/>
          <w:i w:val="false"/>
          <w:color w:val="000000"/>
          <w:sz w:val="24"/>
          <w:lang w:val="pl-PL"/>
        </w:rPr>
        <w:t>CSIRT sektorowy, ustanowiony w ramach sektora lub podsektora wymienionego w załączniku nr 1 do ustawy, jeżeli audytorzy spełniają warunki, o których mowa w pkt 2.</w:t>
      </w:r>
    </w:p>
    <w:p>
      <w:pPr>
        <w:spacing w:before="26" w:after="0"/>
        <w:ind w:left="0"/>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122</w:t>
      </w:r>
      <w:r>
        <w:rPr>
          <w:rFonts w:ascii="Times New Roman"/>
          <w:b w:val="false"/>
          <w:i w:val="false"/>
          <w:color w:val="000000"/>
          <w:sz w:val="24"/>
          <w:lang w:val="pl-PL"/>
        </w:rPr>
        <w:t xml:space="preserve"> </w:t>
      </w:r>
      <w:r>
        <w:rPr>
          <w:rFonts w:ascii="Times New Roman"/>
          <w:b w:val="false"/>
          <w:i w:val="false"/>
          <w:color w:val="000000"/>
          <w:sz w:val="24"/>
          <w:lang w:val="pl-PL"/>
        </w:rPr>
        <w:t>Audyt nie może być przeprowadzony przez osobę realizującą w podmiocie audytowanym zadania, o których mowa w art. 8 oraz art. 9-13, lub która realizowała te zadania w podmiocie audytowanym w przeciągu roku przed dniem rozpoczęcia audytu.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praktykę w zakresie audytu bezpieczeństwa systemów informacyjnych, o której mowa w </w:t>
      </w:r>
      <w:r>
        <w:rPr>
          <w:rFonts w:ascii="Times New Roman"/>
          <w:b w:val="false"/>
          <w:i w:val="false"/>
          <w:color w:val="1b1b1b"/>
          <w:sz w:val="24"/>
          <w:lang w:val="pl-PL"/>
        </w:rPr>
        <w:t>ust. 2 pkt 2 lit. b</w:t>
      </w:r>
      <w:r>
        <w:rPr>
          <w:rFonts w:ascii="Times New Roman"/>
          <w:b w:val="false"/>
          <w:i w:val="false"/>
          <w:color w:val="000000"/>
          <w:sz w:val="24"/>
          <w:lang w:val="pl-PL"/>
        </w:rPr>
        <w:t xml:space="preserve"> i </w:t>
      </w:r>
      <w:r>
        <w:rPr>
          <w:rFonts w:ascii="Times New Roman"/>
          <w:b w:val="false"/>
          <w:i w:val="false"/>
          <w:color w:val="1b1b1b"/>
          <w:sz w:val="24"/>
          <w:lang w:val="pl-PL"/>
        </w:rPr>
        <w:t>c</w:t>
      </w:r>
      <w:r>
        <w:rPr>
          <w:rFonts w:ascii="Times New Roman"/>
          <w:b w:val="false"/>
          <w:i w:val="false"/>
          <w:color w:val="000000"/>
          <w:sz w:val="24"/>
          <w:lang w:val="pl-PL"/>
        </w:rPr>
        <w:t>, uważa się udokumentowane wykonanie w ciągu ostatnich 3 lat przed dniem rozpoczęcia audytu 3 audytów w zakresie bezpieczeństwa systemów informacyjnych lub ciągłości działania albo wykonywanie audytów bezpieczeństwa systemów informacyjnych lub ciągłości działania w wymiarze czasu pracy nie mniejszym niż 1/2 etatu, związanych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przeprowadzaniem audytu wewnętrznego pod nadzorem audytora wewnętrznego;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przeprowadzaniem audytu zewnętrznego pod nadzorem audytora wiodącego;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123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wykonywaniem czynności kontrolnych,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15 lipca 2011 r. o kontroli w administracji rządowej (Dz. U. z 2020 r. poz. 224 oraz z 2025 r. poz. 1158);</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wykonywaniem czynności kontrolnych,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23 grudnia 1994 r. o Najwyższej Izbie Kontroli (Dz. U. z 2022 r. poz. 623).</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Audytor jest obowiązany do zachowania w tajemnicy informacji uzyskanych w związku z przeprowadzanym audytem, z zachowaniem przepisów o ochronie informacji niejawnych i innych informacji prawnie chronionych.</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124</w:t>
      </w:r>
      <w:r>
        <w:rPr>
          <w:rFonts w:ascii="Times New Roman"/>
          <w:b w:val="false"/>
          <w:i w:val="false"/>
          <w:color w:val="000000"/>
          <w:sz w:val="24"/>
          <w:lang w:val="pl-PL"/>
        </w:rPr>
        <w:t xml:space="preserve"> </w:t>
      </w:r>
      <w:r>
        <w:rPr>
          <w:rFonts w:ascii="Times New Roman"/>
          <w:b w:val="false"/>
          <w:i w:val="false"/>
          <w:color w:val="000000"/>
          <w:sz w:val="24"/>
          <w:lang w:val="pl-PL"/>
        </w:rPr>
        <w:t>Na podstawie zebranych dokumentów i dowodów audytor sporządza pisemne sprawozdanie z przeprowadzonego audytu i przekazuje je podmiotowi kluczowemu lub podmiotowi ważnemu wraz z dokumentacją z przeprowadzonego audytu.</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126</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przekazuje kopię raportu z przeprowadzonego audytu na wniosek: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128</w:t>
      </w:r>
      <w:r>
        <w:rPr>
          <w:rFonts w:ascii="Times New Roman"/>
          <w:b w:val="false"/>
          <w:i w:val="false"/>
          <w:color w:val="000000"/>
          <w:sz w:val="24"/>
          <w:lang w:val="pl-PL"/>
        </w:rPr>
        <w:t xml:space="preserve"> </w:t>
      </w:r>
      <w:r>
        <w:rPr>
          <w:rFonts w:ascii="Times New Roman"/>
          <w:b w:val="false"/>
          <w:i w:val="false"/>
          <w:color w:val="000000"/>
          <w:sz w:val="24"/>
          <w:lang w:val="pl-PL"/>
        </w:rPr>
        <w:t xml:space="preserve">dyrektora Rządowego Centrum Bezpieczeństwa - w przypadku gdy podmiot kluczowy lub podmiot ważny jest jednocześnie operatorem infrastruktury krytycznej, o którym mowa w </w:t>
      </w:r>
      <w:r>
        <w:rPr>
          <w:rFonts w:ascii="Times New Roman"/>
          <w:b w:val="false"/>
          <w:i w:val="false"/>
          <w:color w:val="1b1b1b"/>
          <w:sz w:val="24"/>
          <w:lang w:val="pl-PL"/>
        </w:rPr>
        <w:t>art. 3 pkt 3a</w:t>
      </w:r>
      <w:r>
        <w:rPr>
          <w:rFonts w:ascii="Times New Roman"/>
          <w:b w:val="false"/>
          <w:i w:val="false"/>
          <w:color w:val="000000"/>
          <w:sz w:val="24"/>
          <w:lang w:val="pl-PL"/>
        </w:rPr>
        <w:t xml:space="preserve"> ustawy z dnia 26 kwietnia 2007 r. o zarządzaniu kryzysowym (Dz. U. z 2026 r. poz. 574 i 815);</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Szefa Agencji Bezpieczeństwa Wewnętrznego.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określi, w drodze rozporządzenia, wykaz certyfikatów uprawniających do przeprowadzenia audytu, uwzględniając zakres wiedzy specjalistycznej wymaganej od osób legitymujących się poszczególnymi certyfikatami.</w:t>
      </w:r>
    </w:p>
    <w:p>
      <w:pPr>
        <w:spacing w:before="80" w:after="0"/>
        <w:ind w:left="0"/>
        <w:jc w:val="left"/>
        <w:textAlignment w:val="auto"/>
      </w:pPr>
      <w:r>
        <w:rPr>
          <w:rFonts w:ascii="Times New Roman"/>
          <w:b/>
          <w:i w:val="false"/>
          <w:color w:val="000000"/>
          <w:sz w:val="24"/>
          <w:lang w:val="pl-PL"/>
        </w:rPr>
        <w:t xml:space="preserve"> Art. 16. </w:t>
      </w:r>
      <w:r>
        <w:rPr>
          <w:rFonts w:ascii="Times New Roman"/>
          <w:b/>
          <w:i w:val="false"/>
          <w:color w:val="000000"/>
          <w:sz w:val="24"/>
          <w:vertAlign w:val="superscript"/>
          <w:lang w:val="pl-PL"/>
        </w:rPr>
        <w:t>129</w:t>
      </w:r>
      <w:r>
        <w:rPr>
          <w:rFonts w:ascii="Times New Roman"/>
          <w:b/>
          <w:i w:val="false"/>
          <w:color w:val="000000"/>
          <w:sz w:val="24"/>
          <w:lang w:val="pl-PL"/>
        </w:rPr>
        <w:t xml:space="preserve"> </w:t>
      </w:r>
      <w:r>
        <w:rPr>
          <w:rFonts w:ascii="Times New Roman"/>
          <w:b/>
          <w:i w:val="false"/>
          <w:color w:val="000000"/>
          <w:sz w:val="24"/>
          <w:lang w:val="pl-PL"/>
        </w:rPr>
        <w:t>[Terminy realizacji obowiązków przez podmiot kluczowy lub podmiot ważny]</w:t>
      </w:r>
    </w:p>
    <w:p>
      <w:pPr>
        <w:spacing w:after="0"/>
        <w:ind w:left="0"/>
        <w:jc w:val="left"/>
        <w:textAlignment w:val="auto"/>
      </w:pPr>
      <w:r>
        <w:rPr>
          <w:rFonts w:ascii="Times New Roman"/>
          <w:b w:val="false"/>
          <w:i w:val="false"/>
          <w:color w:val="000000"/>
          <w:sz w:val="24"/>
          <w:lang w:val="pl-PL"/>
        </w:rPr>
        <w:t>Podmiot: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kluczowy lub ważny realizuje obowiązki, o których mowa w niniejszym rozdziale, w terminie 12 miesięcy,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kluczowy zapewnia przeprowadzenie audytu po raz pierwszy w terminie 24 miesięcy</w:t>
      </w:r>
    </w:p>
    <w:p>
      <w:pPr>
        <w:spacing w:before="25" w:after="0"/>
        <w:ind w:left="0"/>
        <w:jc w:val="left"/>
        <w:textAlignment w:val="auto"/>
      </w:pPr>
      <w:r>
        <w:rPr>
          <w:rFonts w:ascii="Times New Roman"/>
          <w:b w:val="false"/>
          <w:i w:val="false"/>
          <w:color w:val="000000"/>
          <w:sz w:val="24"/>
          <w:lang w:val="pl-PL"/>
        </w:rPr>
        <w:t>- od dnia spełnienia przesłanek uznania za podmiot kluczowy lub podmiot ważny.</w:t>
      </w:r>
    </w:p>
    <w:p>
      <w:pPr>
        <w:spacing w:before="80" w:after="0"/>
        <w:ind w:left="0"/>
        <w:jc w:val="left"/>
        <w:textAlignment w:val="auto"/>
      </w:pPr>
      <w:r>
        <w:rPr>
          <w:rFonts w:ascii="Times New Roman"/>
          <w:b/>
          <w:i w:val="false"/>
          <w:color w:val="000000"/>
          <w:sz w:val="24"/>
          <w:lang w:val="pl-PL"/>
        </w:rPr>
        <w:t xml:space="preserve"> Art. 16a. </w:t>
      </w:r>
      <w:r>
        <w:rPr>
          <w:rFonts w:ascii="Times New Roman"/>
          <w:b/>
          <w:i w:val="false"/>
          <w:color w:val="000000"/>
          <w:sz w:val="24"/>
          <w:vertAlign w:val="superscript"/>
          <w:lang w:val="pl-PL"/>
        </w:rPr>
        <w:t>130</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 xml:space="preserve">Rozdział 3a </w:t>
      </w:r>
      <w:r>
        <w:rPr>
          <w:rFonts w:ascii="Times New Roman"/>
          <w:b/>
          <w:i w:val="false"/>
          <w:color w:val="000000"/>
          <w:sz w:val="24"/>
          <w:vertAlign w:val="superscript"/>
          <w:lang w:val="pl-PL"/>
        </w:rPr>
        <w:t>131</w:t>
      </w:r>
    </w:p>
    <w:p>
      <w:pPr>
        <w:spacing w:before="25" w:after="0"/>
        <w:ind w:left="0"/>
        <w:jc w:val="center"/>
        <w:textAlignment w:val="auto"/>
      </w:pPr>
      <w:r>
        <w:rPr>
          <w:rFonts w:ascii="Times New Roman"/>
          <w:b/>
          <w:i w:val="false"/>
          <w:color w:val="000000"/>
          <w:sz w:val="24"/>
          <w:lang w:val="pl-PL"/>
        </w:rPr>
        <w:t>Obowiązki rejestrów nazw domen najwyższego poziomu oraz zadania i obowiązki podmiotów świadczących usługi rejestracji nazw domen</w:t>
      </w:r>
    </w:p>
    <w:p>
      <w:pPr>
        <w:spacing w:before="80" w:after="0"/>
        <w:ind w:left="0"/>
        <w:jc w:val="left"/>
        <w:textAlignment w:val="auto"/>
      </w:pPr>
      <w:r>
        <w:rPr>
          <w:rFonts w:ascii="Times New Roman"/>
          <w:b/>
          <w:i w:val="false"/>
          <w:color w:val="000000"/>
          <w:sz w:val="24"/>
          <w:lang w:val="pl-PL"/>
        </w:rPr>
        <w:t xml:space="preserve"> Art. 16b.</w:t>
      </w:r>
      <w:r>
        <w:rPr>
          <w:rFonts w:ascii="Times New Roman"/>
          <w:b/>
          <w:i w:val="false"/>
          <w:color w:val="000000"/>
          <w:sz w:val="24"/>
          <w:lang w:val="pl-PL"/>
        </w:rPr>
        <w:t xml:space="preserve"> [Zbieranie i przechowywanie danych dotyczących rejestracji nazw domen]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 nazw domen najwyższego poziomu (TLD) i podmioty świadczące usługi rejestracji nazw domen z należytą starannością zbierają i zachowują dokładne i kompletne dane dotyczące rejestracji nazw domen.</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Podmioty świadczące usługi rejestracji nazw w konkretnej domenie najwyższego poziomu współpracują z rejestrem nazw tej domeny. Baza danych dotycząca rejestracji nazw domen może funkcjonować w szczególności przez umożliwianie podmiotom świadczącym usługi rejestracji nazw domen przez rejestr nazw domen najwyższego poziomu (TLD) na podstawie umów, zautomatyzowanego wprowadzania i aktualizowania danych oraz inicjowanie związanych z tym czynności administracyjnych i technicznych. W takim przypadku przetwarzanie danych przez podmioty świadczące usługi rejestracji nazw domen nie jest uznawane za powielanie zadań rejestru nazw domen najwyższego poziomu (TLD).</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odniesieniu do danych będących danymi osobowymi przetwarzanie w zakresie, o którym mowa w ust. 1 i 2, następuje zgodnie z przepisami dotyczącymi ochrony danych osobowych.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Baza danych dotyczących rejestracji nazw domen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domeny;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rejestracji;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imię i nazwisko lub nazwę abonenta nazwy domeny oraz adres poczty elektronicznej i numer telefonu;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adres poczty elektronicznej i numer telefonu, pod którymi można skontaktować się z punktem kontaktowym zarządzającym nazwą domeny, w przypadku gdy różnią się od adresu poczty elektronicznej i numeru telefonu abonenta nazwy domeny, a w przypadku gdy usługi punktu kontaktowego zarządzającego nazwą domeny nie są dopuszczone dla konkretnej domeny najwyższego poziomu (TLD), należy podać co najmniej dane identyfikujące podmiot świadczący usługi rejestracji nazw domen.</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Rejestry nazw domen najwyższego poziomu (TLD) i podmioty świadczące usługi rejestracji nazw domen opracowują i wdrażają polityki i procedury, w tym procedury weryfikacji, służące zapewnieniu, aby bazy danych, o których mowa w ust. 1, zawierały dokładne i kompletne dane. Procedury weryfikacji danych: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obejmują działania weryfikacyjne na etapie rejestracji nazwy domeny lub po takiej rejestracji;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 wyważone i proporcjonalne;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prowadzą do zweryfikowania co najmniej jednego ze sposobów kontaktu, o których mowa w ust. 4 pkt 3 lub 4;</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obejmują uprawnienie rejestru nazw domen najwyższego poziomu (TLD) lub podmiotów świadczących usługi rejestracji nazw domen do żądania, w uzasadnionych przypadkach, udokumentowania danych identyfikacyjnych innych niż wymienione w ust. 3 lub 4, w szczególności numeru lub innego oznaczenia identyfikacyjnego abonenta nazwy domeny zawartego w rejestrach publicznych, o ile obowiązek jego posiadania wynika z przepisów prawa krajowego obowiązującego takiego abonenta.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Polityki i procedury, o których mowa w ust. 5, rejestr nazw domen najwyższego poziomu (TLD) i podmioty świadczące usługi rejestracji nazw domen publikują na swoich stronach internetowych. Polityki i procedury podmiotów świadczących usługi rejestracji nazw w konkretnej domenie najwyższego poziomu (TLD) są zgodne z politykami i procedurami opublikowanymi przez rejestr nazw tej domeny najwyższego poziomu (TLD).</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 rejestracji nazwy domeny rejestr nazw domen najwyższego poziomu (TLD) i podmioty świadczące usługi rejestracji nazw domen niezwłocznie publikują na stronie internetowej dane dotyczące rejestracji nazwy domeny, z wyłączeniem danych osobowych.</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Obowiązek, o którym mowa w ust. 7, może zostać zrealizowany w szczególności przez zamieszczenie danych w ogólnodostępnej bazie abonentów upublicznianej przez rejestr nazw domen najwyższego poziomu (TLD).</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przypadku gdy podanie danych, w tym adresu poczty elektronicznej abonenta nazwy domeny, wymaga uzyskania zgody, obowiązek jej uzyskania obciąża podmiot przetwarzający te dane jako pierwszy.</w:t>
      </w:r>
    </w:p>
    <w:p>
      <w:pPr>
        <w:spacing w:before="80" w:after="0"/>
        <w:ind w:left="0"/>
        <w:jc w:val="left"/>
        <w:textAlignment w:val="auto"/>
      </w:pPr>
      <w:r>
        <w:rPr>
          <w:rFonts w:ascii="Times New Roman"/>
          <w:b/>
          <w:i w:val="false"/>
          <w:color w:val="000000"/>
          <w:sz w:val="24"/>
          <w:lang w:val="pl-PL"/>
        </w:rPr>
        <w:t xml:space="preserve"> Art. 16c.</w:t>
      </w:r>
      <w:r>
        <w:rPr>
          <w:rFonts w:ascii="Times New Roman"/>
          <w:b/>
          <w:i w:val="false"/>
          <w:color w:val="000000"/>
          <w:sz w:val="24"/>
          <w:lang w:val="pl-PL"/>
        </w:rPr>
        <w:t xml:space="preserve"> [Udzielanie dostępu do danych dotyczących rejestracji nazw domen]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Rejestry nazw domen najwyższego poziomu (TLD) oraz podmioty świadczące usługi rejestracji nazw domen na żądanie: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sądu - w celu przeprowadzenia dowodu w postępowaniu karnym, postępowaniu w sprawach o wykroczenia lub w postępowaniu cywilnym,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prokuratora - w celu przeprowadzenia dowodu w postępowaniu karnym lub postępowaniu w sprawach o wykroczenia,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Policji oraz innych upoważnionych organów w postępowaniu karnym lub czynnościach wyjaśniających w sprawie o wykroczenie i postępowaniu w sprawach o wykroczenia - w celu przeprowadzenia dowodu w postępowaniu karnym lub czynnościach wyjaśniających w sprawie o wykroczenie i postępowaniu w sprawach o wykroczenia,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CSIRT sektorowego - w celu przeprowadzenia obsługi incydentu poważnego przez CSIRT sektorowy związanego z daną domeną,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CSIRT GOV, CSIRT MON lub CSIRT NASK - w celu przeprowadzenia obsługi incydentu poważnego lub incydentu krytycznego związanego z daną domeną,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podmiotu wykonującego postanowienie sądu w przedmiocie zabezpieczenia środka dowodowego, o którym mowa w </w:t>
      </w:r>
      <w:r>
        <w:rPr>
          <w:rFonts w:ascii="Times New Roman"/>
          <w:b w:val="false"/>
          <w:i w:val="false"/>
          <w:color w:val="1b1b1b"/>
          <w:sz w:val="24"/>
          <w:lang w:val="pl-PL"/>
        </w:rPr>
        <w:t>art. 479</w:t>
      </w:r>
      <w:r>
        <w:rPr>
          <w:rFonts w:ascii="Times New Roman"/>
          <w:b w:val="false"/>
          <w:i w:val="false"/>
          <w:color w:val="1b1b1b"/>
          <w:sz w:val="24"/>
          <w:vertAlign w:val="superscript"/>
          <w:lang w:val="pl-PL"/>
        </w:rPr>
        <w:t xml:space="preserve">100 </w:t>
      </w:r>
      <w:r>
        <w:rPr>
          <w:rFonts w:ascii="Times New Roman"/>
          <w:b w:val="false"/>
          <w:i w:val="false"/>
          <w:color w:val="1b1b1b"/>
          <w:sz w:val="24"/>
          <w:lang w:val="pl-PL"/>
        </w:rPr>
        <w:t>§ 1</w:t>
      </w:r>
      <w:r>
        <w:rPr>
          <w:rFonts w:ascii="Times New Roman"/>
          <w:b w:val="false"/>
          <w:i w:val="false"/>
          <w:color w:val="000000"/>
          <w:sz w:val="24"/>
          <w:lang w:val="pl-PL"/>
        </w:rPr>
        <w:t xml:space="preserve"> ustawy z dnia 17 listopada 1964 r. - Kodeks postępowania cywilnego (Dz. U. z 2024 r. poz. 1568, z późn. zm.),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Prezesa Urzędu Komunikacji Elektronicznej - w celu weryfikacji, czy podmiot składający sprzeciw wobec wpisania domeny na listę ostrzeżeń, o którym mowa w </w:t>
      </w:r>
      <w:r>
        <w:rPr>
          <w:rFonts w:ascii="Times New Roman"/>
          <w:b w:val="false"/>
          <w:i w:val="false"/>
          <w:color w:val="1b1b1b"/>
          <w:sz w:val="24"/>
          <w:lang w:val="pl-PL"/>
        </w:rPr>
        <w:t>art. 21 ust. 1</w:t>
      </w:r>
      <w:r>
        <w:rPr>
          <w:rFonts w:ascii="Times New Roman"/>
          <w:b w:val="false"/>
          <w:i w:val="false"/>
          <w:color w:val="000000"/>
          <w:sz w:val="24"/>
          <w:lang w:val="pl-PL"/>
        </w:rPr>
        <w:t xml:space="preserve"> ustawy z dnia 28 lipca 2023 r. o zwalczaniu nadużyć w komunikacji elektronicznej (Dz. U. z 2024 r. poz. 1803), dysponuje do tej domeny tytułem prawnym</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udzielają dostępu do konkretnych danych dotyczących rejestracji nazw domen, które mają znaczenie dla prowadzonego postępowania lub czynności wyjaśniających w sprawie o wykroczenie, z zachowaniem przepisów dotyczących ochrony danych osobowych.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Żądanie udostępnienia danych, o których mowa w ust. 1, składa się w postaci elektronicznej i opatruje kwalifikowanym podpisem elektronicznym, podpisem zaufanym, podpisem osobistym albo kwalifikowaną pieczęcią elektroniczną. Żądanie zawiera uzasadnienie.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Rejestry nazw domen najwyższego poziomu (TLD) oraz podmioty świadczące usługi rejestracji nazw domen udzielają odpowiedzi niepóźniej niż w terminie 72 godzin od dnia otrzymania żądania udostępnienia danych, o którym mowa w ust. 1, w sposób określony w opracowanej przez siebie i podanej do publicznej wiadomości polityce i procedurze ujawniania takich danych.</w:t>
      </w:r>
    </w:p>
    <w:p>
      <w:pPr>
        <w:spacing w:before="89" w:after="0"/>
        <w:ind w:left="0"/>
        <w:jc w:val="center"/>
        <w:textAlignment w:val="auto"/>
      </w:pPr>
      <w:r>
        <w:rPr>
          <w:rFonts w:ascii="Times New Roman"/>
          <w:b/>
          <w:i w:val="false"/>
          <w:color w:val="000000"/>
          <w:sz w:val="24"/>
          <w:lang w:val="pl-PL"/>
        </w:rPr>
        <w:t xml:space="preserve">Rozdział 3b </w:t>
      </w:r>
      <w:r>
        <w:rPr>
          <w:rFonts w:ascii="Times New Roman"/>
          <w:b/>
          <w:i w:val="false"/>
          <w:color w:val="000000"/>
          <w:sz w:val="24"/>
          <w:vertAlign w:val="superscript"/>
          <w:lang w:val="pl-PL"/>
        </w:rPr>
        <w:t>132</w:t>
      </w:r>
    </w:p>
    <w:p>
      <w:pPr>
        <w:spacing w:before="25" w:after="0"/>
        <w:ind w:left="0"/>
        <w:jc w:val="center"/>
        <w:textAlignment w:val="auto"/>
      </w:pPr>
      <w:r>
        <w:rPr>
          <w:rFonts w:ascii="Times New Roman"/>
          <w:b/>
          <w:i w:val="false"/>
          <w:color w:val="000000"/>
          <w:sz w:val="24"/>
          <w:lang w:val="pl-PL"/>
        </w:rPr>
        <w:t>Wspólne wykonywanie obowiązków z zakresu cyberbezpieczeństwa przez podmioty publiczne</w:t>
      </w:r>
    </w:p>
    <w:p>
      <w:pPr>
        <w:spacing w:before="80" w:after="0"/>
        <w:ind w:left="0"/>
        <w:jc w:val="left"/>
        <w:textAlignment w:val="auto"/>
      </w:pPr>
      <w:r>
        <w:rPr>
          <w:rFonts w:ascii="Times New Roman"/>
          <w:b/>
          <w:i w:val="false"/>
          <w:color w:val="000000"/>
          <w:sz w:val="24"/>
          <w:lang w:val="pl-PL"/>
        </w:rPr>
        <w:t xml:space="preserve"> Art. 16d.</w:t>
      </w:r>
      <w:r>
        <w:rPr>
          <w:rFonts w:ascii="Times New Roman"/>
          <w:b/>
          <w:i w:val="false"/>
          <w:color w:val="000000"/>
          <w:sz w:val="24"/>
          <w:lang w:val="pl-PL"/>
        </w:rPr>
        <w:t xml:space="preserve"> [Obowiązki podmiotu publicznego wykorzystującego system informacyjny w celu realizacji zadania publicznego]</w:t>
      </w:r>
    </w:p>
    <w:p>
      <w:pPr>
        <w:spacing w:after="0"/>
        <w:ind w:left="0"/>
        <w:jc w:val="left"/>
        <w:textAlignment w:val="auto"/>
      </w:pPr>
      <w:r>
        <w:rPr>
          <w:rFonts w:ascii="Times New Roman"/>
          <w:b w:val="false"/>
          <w:i w:val="false"/>
          <w:color w:val="000000"/>
          <w:sz w:val="24"/>
          <w:lang w:val="pl-PL"/>
        </w:rPr>
        <w:t>Podmiot publiczny realizuje obowiązki, o których mowa w art. 7b ust. 4, art. 7c, art. 7f ust. 3, art. 8, art. 8c-8f, art. 9-12b i art. 15, jeżeli wykorzystuje system informacyjny w celu realizacji zadania publicznego.</w:t>
      </w:r>
    </w:p>
    <w:p>
      <w:pPr>
        <w:spacing w:before="80" w:after="0"/>
        <w:ind w:left="0"/>
        <w:jc w:val="left"/>
        <w:textAlignment w:val="auto"/>
      </w:pPr>
      <w:r>
        <w:rPr>
          <w:rFonts w:ascii="Times New Roman"/>
          <w:b/>
          <w:i w:val="false"/>
          <w:color w:val="000000"/>
          <w:sz w:val="24"/>
          <w:lang w:val="pl-PL"/>
        </w:rPr>
        <w:t xml:space="preserve"> Art. 16e.</w:t>
      </w:r>
      <w:r>
        <w:rPr>
          <w:rFonts w:ascii="Times New Roman"/>
          <w:b/>
          <w:i w:val="false"/>
          <w:color w:val="000000"/>
          <w:sz w:val="24"/>
          <w:lang w:val="pl-PL"/>
        </w:rPr>
        <w:t xml:space="preserve"> [Wyznaczenie urzędu lub jednostki odpowiedzialnej za realizację obowiązków z zakresu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kierujący działem administracji rządowej może wyznaczyć obsługujący go urząd, jednostkę jemu podległą albo przez niego nadzorowaną jako jednostkę odpowiedzialną za realizację obowiązków, o których mowa w art. 7b ust. 4, art. 7c, art. 7f ust. 3, art. 8, art. 8c-8f, art. 9-12b lub art. 15, w pozostałych jednostkach organizacyjnych lub organach podległych oraz nadzorowanych przez tego ministra, a także w obsługującym go urzędzie.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Centralny organ administracji rządowej, niebędący ministrem, może wyznaczyć obsługujący go urząd, jednostkę jemu podległą albo przez niego nadzorowaną jako jednostkę odpowiedzialną za realizację obowiązków, o których mowa w art. 7b ust. 4, art. 7c, art. 7f ust. 3, art. 8, art. 8c-8f, art. 9-12b lub art. 15, w pozostałych jednostkach organizacyjnych podległych oraz nadzorowanych przez ten organ, a także w obsługującym go urzędzie.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Wojewoda może wyznaczyć obsługujący go urząd, jednostkę jemu podległą albo przez niego nadzorowaną jako jednostkę odpowiedzialną za realizację obowiązków, o których mowa w art. 7b ust. 4, art. 7c, art. 7f ust. 3, art. 8, art. 8c-8f, art. 9-12b lub art. 15, w pozostałych jednostkach organizacyjnych podległych oraz nadzorowanych przez wojewodę, a także w obsługującym go urzędzie.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Prokurator Generalny może spośród powszechnych jednostek organizacyjnych prokuratury wyznaczyć jednostkę odpowiedzialną za realizację obowiązków, o których mowa w art. 7b ust. 4, art. 7c, art. 7f ust. 3, art. 8, art. 8c-8f, art. 9-12b lub art. 15, w pozostałych jednostkach prokuratury.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Jednostka samorządu terytorialnego może zapewnić wspólną obsługę realizacji obowiązków, o których mowa w art. 7b ust. 4, art. 7c, art. 7f ust. 3, art. 8, art. 8c-8f, art. 8h, art. 9-12b lub art. 15. Do wyznaczenia jednostki obsługującej i obsługiwanej stosuje się odpowiednio przepisy </w:t>
      </w:r>
      <w:r>
        <w:rPr>
          <w:rFonts w:ascii="Times New Roman"/>
          <w:b w:val="false"/>
          <w:i w:val="false"/>
          <w:color w:val="1b1b1b"/>
          <w:sz w:val="24"/>
          <w:lang w:val="pl-PL"/>
        </w:rPr>
        <w:t>art. 10a-10d</w:t>
      </w:r>
      <w:r>
        <w:rPr>
          <w:rFonts w:ascii="Times New Roman"/>
          <w:b w:val="false"/>
          <w:i w:val="false"/>
          <w:color w:val="000000"/>
          <w:sz w:val="24"/>
          <w:lang w:val="pl-PL"/>
        </w:rPr>
        <w:t xml:space="preserve"> ustawy z dnia 8 marca 1990 r. o samorządzie gminnym (Dz. U. z 2025 r. poz. 1153 i 1436), </w:t>
      </w:r>
      <w:r>
        <w:rPr>
          <w:rFonts w:ascii="Times New Roman"/>
          <w:b w:val="false"/>
          <w:i w:val="false"/>
          <w:color w:val="1b1b1b"/>
          <w:sz w:val="24"/>
          <w:lang w:val="pl-PL"/>
        </w:rPr>
        <w:t>art. 6a-6d</w:t>
      </w:r>
      <w:r>
        <w:rPr>
          <w:rFonts w:ascii="Times New Roman"/>
          <w:b w:val="false"/>
          <w:i w:val="false"/>
          <w:color w:val="000000"/>
          <w:sz w:val="24"/>
          <w:lang w:val="pl-PL"/>
        </w:rPr>
        <w:t xml:space="preserve"> ustawy z dnia 5 czerwca 1998 r. o samorządzie powiatowym (Dz. U. z 2025 r. poz. 1684) oraz </w:t>
      </w:r>
      <w:r>
        <w:rPr>
          <w:rFonts w:ascii="Times New Roman"/>
          <w:b w:val="false"/>
          <w:i w:val="false"/>
          <w:color w:val="1b1b1b"/>
          <w:sz w:val="24"/>
          <w:lang w:val="pl-PL"/>
        </w:rPr>
        <w:t>art. 8c-8f</w:t>
      </w:r>
      <w:r>
        <w:rPr>
          <w:rFonts w:ascii="Times New Roman"/>
          <w:b w:val="false"/>
          <w:i w:val="false"/>
          <w:color w:val="000000"/>
          <w:sz w:val="24"/>
          <w:lang w:val="pl-PL"/>
        </w:rPr>
        <w:t xml:space="preserve"> ustawy z dnia 5 czerwca 1998 r. o samorządzie województwa (Dz. U. z 2025 r. poz. 581 i 1535).</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Jednostki samorządu terytorialnego mogą zawrzeć porozumienie w sprawie powierzenia jednej z nich realizacji obowiązków, o których mowa w art. 7b ust. 4, art. 7c, art. 7f ust. 3, art. 8, art. 8c-8f, art. 8h, art. 9-12b lub art. 15. Porozumienie może przewidywać powierzenie wykonywania obowiązków dowolnej jednostce, spośród jednostek zawierających porozumienie.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porozumieniu, o którym mowa w ust. 6, wskazuje się jednostki organizacyjne, samorządowe osoby prawne lub spółki,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jednostki samorządu terytorialnego powierzającej realizację obowiązków, o których mowa w art. 7b ust. 4, art. 7c, art. 7f ust. 3, art. 8, art. 8c-8f, art. 8h, art. 9-12b lub art. 15, objęte porozumieniem.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Jednostka samorządu terytorialnego, której powierzono realizację obowiązków, o których mowa w art. 7b ust. 4, art. 7c, art. 7f ust. 3, art. 8, art. 8c-8f, art. 8h, art. 9-12b lub art. 15, wyznacza jednostkę organizacyjną, samorządową osobę prawną lub spółkę, o której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do realizacji tych obowiązków.</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porozumień, o których mowa w ust. 6, stosuje się odpowiednio przepisy </w:t>
      </w:r>
      <w:r>
        <w:rPr>
          <w:rFonts w:ascii="Times New Roman"/>
          <w:b w:val="false"/>
          <w:i w:val="false"/>
          <w:color w:val="1b1b1b"/>
          <w:sz w:val="24"/>
          <w:lang w:val="pl-PL"/>
        </w:rPr>
        <w:t>art. 74</w:t>
      </w:r>
      <w:r>
        <w:rPr>
          <w:rFonts w:ascii="Times New Roman"/>
          <w:b w:val="false"/>
          <w:i w:val="false"/>
          <w:color w:val="000000"/>
          <w:sz w:val="24"/>
          <w:lang w:val="pl-PL"/>
        </w:rPr>
        <w:t xml:space="preserve"> ustawy z dnia 8 marca 1990 r. o samorządzie gminnym.</w:t>
      </w:r>
    </w:p>
    <w:p>
      <w:pPr>
        <w:spacing w:before="80" w:after="0"/>
        <w:ind w:left="0"/>
        <w:jc w:val="left"/>
        <w:textAlignment w:val="auto"/>
      </w:pPr>
      <w:r>
        <w:rPr>
          <w:rFonts w:ascii="Times New Roman"/>
          <w:b/>
          <w:i w:val="false"/>
          <w:color w:val="000000"/>
          <w:sz w:val="24"/>
          <w:lang w:val="pl-PL"/>
        </w:rPr>
        <w:t xml:space="preserve"> Art. 16f.</w:t>
      </w:r>
      <w:r>
        <w:rPr>
          <w:rFonts w:ascii="Times New Roman"/>
          <w:b/>
          <w:i w:val="false"/>
          <w:color w:val="000000"/>
          <w:sz w:val="24"/>
          <w:lang w:val="pl-PL"/>
        </w:rPr>
        <w:t xml:space="preserve"> [Współpraca podmiotów publicznych z wyznaczoną jednostką realizującą obowiązki z zakresu cyberbezpieczeństwa]</w:t>
      </w:r>
    </w:p>
    <w:p>
      <w:pPr>
        <w:spacing w:after="0"/>
        <w:ind w:left="0"/>
        <w:jc w:val="left"/>
        <w:textAlignment w:val="auto"/>
      </w:pPr>
      <w:r>
        <w:rPr>
          <w:rFonts w:ascii="Times New Roman"/>
          <w:b w:val="false"/>
          <w:i w:val="false"/>
          <w:color w:val="000000"/>
          <w:sz w:val="24"/>
          <w:lang w:val="pl-PL"/>
        </w:rPr>
        <w:t>Podmioty publiczne, dla których jednostka wyznaczona realizuje obowiązki z zakresu cyberbezpieczeństwa, współpracują z tą jednostką w szczególności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przekazywanie informacji o incydentach;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 decyzji kierownika tej jednostki w zakresie systemu zarządzania bezpieczeństwem informacji;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publikowanie na swojej stronie internetowej adresu strony internetowej jednostki wyznaczonej zawierającej informacje o cyberbezpieczeństwie, zgodnie z art. 9;</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uczestnictwo kierownika tej jednostki w szkoleniach z zakresu cyberbezpieczeństwa, jeżeli są prowadzone przez jednostkę wyznaczoną.</w:t>
      </w:r>
    </w:p>
    <w:p>
      <w:pPr>
        <w:spacing w:before="80" w:after="0"/>
        <w:ind w:left="0"/>
        <w:jc w:val="left"/>
        <w:textAlignment w:val="auto"/>
      </w:pPr>
      <w:r>
        <w:rPr>
          <w:rFonts w:ascii="Times New Roman"/>
          <w:b/>
          <w:i w:val="false"/>
          <w:color w:val="000000"/>
          <w:sz w:val="24"/>
          <w:lang w:val="pl-PL"/>
        </w:rPr>
        <w:t xml:space="preserve"> Art. 16g.</w:t>
      </w:r>
      <w:r>
        <w:rPr>
          <w:rFonts w:ascii="Times New Roman"/>
          <w:b/>
          <w:i w:val="false"/>
          <w:color w:val="000000"/>
          <w:sz w:val="24"/>
          <w:lang w:val="pl-PL"/>
        </w:rPr>
        <w:t xml:space="preserve"> [Wskazanie podmiotom publicznym terminów na przekazanie informacji o incydentach]</w:t>
      </w:r>
    </w:p>
    <w:p>
      <w:pPr>
        <w:spacing w:after="0"/>
        <w:ind w:left="0"/>
        <w:jc w:val="left"/>
        <w:textAlignment w:val="auto"/>
      </w:pPr>
      <w:r>
        <w:rPr>
          <w:rFonts w:ascii="Times New Roman"/>
          <w:b w:val="false"/>
          <w:i w:val="false"/>
          <w:color w:val="000000"/>
          <w:sz w:val="24"/>
          <w:lang w:val="pl-PL"/>
        </w:rPr>
        <w:t>W celu prawidłowego wykonania obowiązków, o których mowa w art. 11 i art. 12, kierownik jednostki wyznaczonej, o której mowa w art. 16e, może wskazać podmiotom publicznym terminy na przekazanie informacji o incydentach.</w:t>
      </w:r>
    </w:p>
    <w:p>
      <w:pPr>
        <w:spacing w:before="80" w:after="0"/>
        <w:ind w:left="0"/>
        <w:jc w:val="left"/>
        <w:textAlignment w:val="auto"/>
      </w:pPr>
      <w:r>
        <w:rPr>
          <w:rFonts w:ascii="Times New Roman"/>
          <w:b/>
          <w:i w:val="false"/>
          <w:color w:val="000000"/>
          <w:sz w:val="24"/>
          <w:lang w:val="pl-PL"/>
        </w:rPr>
        <w:t xml:space="preserve"> Art. 16h.</w:t>
      </w:r>
      <w:r>
        <w:rPr>
          <w:rFonts w:ascii="Times New Roman"/>
          <w:b/>
          <w:i w:val="false"/>
          <w:color w:val="000000"/>
          <w:sz w:val="24"/>
          <w:lang w:val="pl-PL"/>
        </w:rPr>
        <w:t xml:space="preserve"> [Obowiązki jednostki wyznaczonej]</w:t>
      </w:r>
    </w:p>
    <w:p>
      <w:pPr>
        <w:spacing w:after="0"/>
        <w:ind w:left="0"/>
        <w:jc w:val="left"/>
        <w:textAlignment w:val="auto"/>
      </w:pPr>
      <w:r>
        <w:rPr>
          <w:rFonts w:ascii="Times New Roman"/>
          <w:b w:val="false"/>
          <w:i w:val="false"/>
          <w:color w:val="000000"/>
          <w:sz w:val="24"/>
          <w:lang w:val="pl-PL"/>
        </w:rPr>
        <w:t>Jednostka wyznaczona, o której mowa w art. 16e: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zgłasza w imieniu podmiotu publicznego wczesne ostrzeżenie, zgłoszenie incydentu poważnego, sprawozdanie okresowe i sprawozdanie końcowe, o których mowa w art. 11 ust. 1 pkt 4-4c, do CSIRT sektorowego;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wskazuje osobę kontaktową do podmiotów publicznych, dla których realizuje zadania z zakresu cyberbezpieczeństwa;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korzysta z systemu teleinformatycznego, o którym mowa w art. 46 ust. 1, w celu realizacji obowiązków, o których mowa w rozdziale 3.</w:t>
      </w:r>
    </w:p>
    <w:p>
      <w:pPr>
        <w:spacing w:before="236" w:after="0"/>
        <w:ind w:left="0"/>
        <w:jc w:val="center"/>
        <w:textAlignment w:val="auto"/>
      </w:pPr>
      <w:r>
        <w:rPr>
          <w:rFonts w:ascii="Times New Roman"/>
          <w:b/>
          <w:i w:val="false"/>
          <w:color w:val="000000"/>
          <w:sz w:val="24"/>
          <w:lang w:val="pl-PL"/>
        </w:rPr>
        <w:t xml:space="preserve">Rozdział 4 </w:t>
      </w:r>
      <w:r>
        <w:rPr>
          <w:rFonts w:ascii="Times New Roman"/>
          <w:b/>
          <w:i w:val="false"/>
          <w:color w:val="000000"/>
          <w:sz w:val="24"/>
          <w:vertAlign w:val="superscript"/>
          <w:lang w:val="pl-PL"/>
        </w:rPr>
        <w:t>133</w:t>
      </w:r>
      <w:r>
        <w:rPr>
          <w:rFonts w:ascii="Times New Roman"/>
          <w:b/>
          <w:i w:val="false"/>
          <w:color w:val="000000"/>
          <w:sz w:val="24"/>
          <w:lang w:val="pl-PL"/>
        </w:rPr>
        <w:t xml:space="preserve"> (uchylony) </w:t>
      </w:r>
    </w:p>
    <w:p>
      <w:pPr>
        <w:spacing w:before="80" w:after="0"/>
        <w:ind w:left="0"/>
        <w:jc w:val="left"/>
        <w:textAlignment w:val="auto"/>
      </w:pPr>
      <w:r>
        <w:rPr>
          <w:rFonts w:ascii="Times New Roman"/>
          <w:b/>
          <w:i w:val="false"/>
          <w:color w:val="000000"/>
          <w:sz w:val="24"/>
          <w:lang w:val="pl-PL"/>
        </w:rPr>
        <w:t xml:space="preserve"> Art. 17. </w:t>
      </w:r>
      <w:r>
        <w:rPr>
          <w:rFonts w:ascii="Times New Roman"/>
          <w:b/>
          <w:i w:val="false"/>
          <w:color w:val="000000"/>
          <w:sz w:val="24"/>
          <w:vertAlign w:val="superscript"/>
          <w:lang w:val="pl-PL"/>
        </w:rPr>
        <w:t>134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18. </w:t>
      </w:r>
      <w:r>
        <w:rPr>
          <w:rFonts w:ascii="Times New Roman"/>
          <w:b/>
          <w:i w:val="false"/>
          <w:color w:val="000000"/>
          <w:sz w:val="24"/>
          <w:vertAlign w:val="superscript"/>
          <w:lang w:val="pl-PL"/>
        </w:rPr>
        <w:t>135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19. </w:t>
      </w:r>
      <w:r>
        <w:rPr>
          <w:rFonts w:ascii="Times New Roman"/>
          <w:b/>
          <w:i w:val="false"/>
          <w:color w:val="000000"/>
          <w:sz w:val="24"/>
          <w:vertAlign w:val="superscript"/>
          <w:lang w:val="pl-PL"/>
        </w:rPr>
        <w:t>136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20. </w:t>
      </w:r>
      <w:r>
        <w:rPr>
          <w:rFonts w:ascii="Times New Roman"/>
          <w:b/>
          <w:i w:val="false"/>
          <w:color w:val="000000"/>
          <w:sz w:val="24"/>
          <w:vertAlign w:val="superscript"/>
          <w:lang w:val="pl-PL"/>
        </w:rPr>
        <w:t>137</w:t>
      </w:r>
    </w:p>
    <w:p>
      <w:pPr>
        <w:spacing w:after="0"/>
        <w:ind w:left="0"/>
        <w:jc w:val="left"/>
        <w:textAlignment w:val="auto"/>
      </w:pPr>
      <w:r>
        <w:rPr>
          <w:rFonts w:ascii="Times New Roman"/>
          <w:b w:val="false"/>
          <w:i w:val="false"/>
          <w:color w:val="000000"/>
          <w:sz w:val="24"/>
          <w:lang w:val="pl-PL"/>
        </w:rPr>
        <w:t>(uchylony)</w:t>
      </w:r>
    </w:p>
    <w:p>
      <w:pPr>
        <w:spacing w:before="236" w:after="0"/>
        <w:ind w:left="0"/>
        <w:jc w:val="center"/>
        <w:textAlignment w:val="auto"/>
      </w:pPr>
      <w:r>
        <w:rPr>
          <w:rFonts w:ascii="Times New Roman"/>
          <w:b/>
          <w:i w:val="false"/>
          <w:color w:val="000000"/>
          <w:sz w:val="24"/>
          <w:lang w:val="pl-PL"/>
        </w:rPr>
        <w:t xml:space="preserve">Rozdział 5 </w:t>
      </w:r>
      <w:r>
        <w:rPr>
          <w:rFonts w:ascii="Times New Roman"/>
          <w:b/>
          <w:i w:val="false"/>
          <w:color w:val="000000"/>
          <w:sz w:val="24"/>
          <w:vertAlign w:val="superscript"/>
          <w:lang w:val="pl-PL"/>
        </w:rPr>
        <w:t>138</w:t>
      </w:r>
      <w:r>
        <w:rPr>
          <w:rFonts w:ascii="Times New Roman"/>
          <w:b/>
          <w:i w:val="false"/>
          <w:color w:val="000000"/>
          <w:sz w:val="24"/>
          <w:lang w:val="pl-PL"/>
        </w:rPr>
        <w:t xml:space="preserve"> (uchylony) </w:t>
      </w:r>
    </w:p>
    <w:p>
      <w:pPr>
        <w:spacing w:before="80" w:after="0"/>
        <w:ind w:left="0"/>
        <w:jc w:val="left"/>
        <w:textAlignment w:val="auto"/>
      </w:pPr>
      <w:r>
        <w:rPr>
          <w:rFonts w:ascii="Times New Roman"/>
          <w:b/>
          <w:i w:val="false"/>
          <w:color w:val="000000"/>
          <w:sz w:val="24"/>
          <w:lang w:val="pl-PL"/>
        </w:rPr>
        <w:t xml:space="preserve"> Art. 21. </w:t>
      </w:r>
      <w:r>
        <w:rPr>
          <w:rFonts w:ascii="Times New Roman"/>
          <w:b/>
          <w:i w:val="false"/>
          <w:color w:val="000000"/>
          <w:sz w:val="24"/>
          <w:vertAlign w:val="superscript"/>
          <w:lang w:val="pl-PL"/>
        </w:rPr>
        <w:t>139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22. </w:t>
      </w:r>
      <w:r>
        <w:rPr>
          <w:rFonts w:ascii="Times New Roman"/>
          <w:b/>
          <w:i w:val="false"/>
          <w:color w:val="000000"/>
          <w:sz w:val="24"/>
          <w:vertAlign w:val="superscript"/>
          <w:lang w:val="pl-PL"/>
        </w:rPr>
        <w:t>140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23. </w:t>
      </w:r>
      <w:r>
        <w:rPr>
          <w:rFonts w:ascii="Times New Roman"/>
          <w:b/>
          <w:i w:val="false"/>
          <w:color w:val="000000"/>
          <w:sz w:val="24"/>
          <w:vertAlign w:val="superscript"/>
          <w:lang w:val="pl-PL"/>
        </w:rPr>
        <w:t>141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24. </w:t>
      </w:r>
      <w:r>
        <w:rPr>
          <w:rFonts w:ascii="Times New Roman"/>
          <w:b/>
          <w:i w:val="false"/>
          <w:color w:val="000000"/>
          <w:sz w:val="24"/>
          <w:vertAlign w:val="superscript"/>
          <w:lang w:val="pl-PL"/>
        </w:rPr>
        <w:t>142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25. </w:t>
      </w:r>
      <w:r>
        <w:rPr>
          <w:rFonts w:ascii="Times New Roman"/>
          <w:b/>
          <w:i w:val="false"/>
          <w:color w:val="000000"/>
          <w:sz w:val="24"/>
          <w:vertAlign w:val="superscript"/>
          <w:lang w:val="pl-PL"/>
        </w:rPr>
        <w:t>143</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Zadania CSIRT MON, CSIRT NASK i CSIRT GOV</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[Zadania poszczególnych CSIRT]</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144</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współpracują ze sobą, z organami właściwymi do spraw cyberbezpieczeństwa, ministrem właściwym do spraw informatyzacji, CSIRT sektorowymi oraz Pełnomocnikiem, zapewniając spójny i kompletny system zarządzania ryzykiem na poziomie krajowym, realizując zadania na rzecz przeciwdziałania cyberzagrożeniom o charakterze ponadsektorowym i transgranicznym, a także zapewniając koordynację obsługi zgłoszonych incydentów.</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145</w:t>
      </w:r>
      <w:r>
        <w:rPr>
          <w:rFonts w:ascii="Times New Roman"/>
          <w:b w:val="false"/>
          <w:i w:val="false"/>
          <w:color w:val="000000"/>
          <w:sz w:val="24"/>
          <w:lang w:val="pl-PL"/>
        </w:rPr>
        <w:t xml:space="preserve"> </w:t>
      </w:r>
      <w:r>
        <w:rPr>
          <w:rFonts w:ascii="Times New Roman"/>
          <w:b w:val="false"/>
          <w:i w:val="false"/>
          <w:color w:val="000000"/>
          <w:sz w:val="24"/>
          <w:lang w:val="pl-PL"/>
        </w:rPr>
        <w:t>W czasie stanu wojennego lub w czasie wojny CSIRT MON, w imieniu Ministra Obrony Narodowej, koordynuje działania CSIRT NASK i CSIRT GOV.</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146</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na wniosek podmiotów krajowego systemu cyberbezpieczeństwa mogą zapewnić wsparcie tym podmiotom w obsłudze incydentów,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incydent może wpłynąć na inne podmioty krajowego systemu cyberbezpieczeństwa;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obsługujący incydent nie dysponuje środkami pozwalającymi mu na jego skuteczną obsługę, a incydent powoduje przerwanie ciągłości świadczenia usługi.</w:t>
      </w:r>
    </w:p>
    <w:p>
      <w:pPr>
        <w:spacing w:before="26" w:after="0"/>
        <w:ind w:left="0"/>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147</w:t>
      </w:r>
      <w:r>
        <w:rPr>
          <w:rFonts w:ascii="Times New Roman"/>
          <w:b w:val="false"/>
          <w:i w:val="false"/>
          <w:color w:val="000000"/>
          <w:sz w:val="24"/>
          <w:lang w:val="pl-PL"/>
        </w:rPr>
        <w:t xml:space="preserve"> </w:t>
      </w:r>
      <w:r>
        <w:rPr>
          <w:rFonts w:ascii="Times New Roman"/>
          <w:b w:val="false"/>
          <w:i w:val="false"/>
          <w:color w:val="000000"/>
          <w:sz w:val="24"/>
          <w:lang w:val="pl-PL"/>
        </w:rPr>
        <w:t>Pełnomocnik może zlecić zapewnienie wsparcia w obsłudze incydentów, o których mowa w ust. 2:</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MON, za zgodą Ministra Obrony Narodowej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NASK,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CSIRT GOV, za zgodą Szefa Agencji Bezpieczeństwa Wewnętrznego.</w:t>
      </w:r>
    </w:p>
    <w:p>
      <w:pPr>
        <w:spacing w:before="26" w:after="0"/>
        <w:ind w:left="0"/>
        <w:jc w:val="left"/>
        <w:textAlignment w:val="auto"/>
      </w:pPr>
      <w:r>
        <w:rPr>
          <w:rFonts w:ascii="Times New Roman"/>
          <w:b w:val="false"/>
          <w:i w:val="false"/>
          <w:color w:val="000000"/>
          <w:sz w:val="24"/>
          <w:lang w:val="pl-PL"/>
        </w:rPr>
        <w:t xml:space="preserve">2b. </w:t>
      </w:r>
      <w:r>
        <w:rPr>
          <w:rFonts w:ascii="Times New Roman"/>
          <w:b w:val="false"/>
          <w:i w:val="false"/>
          <w:color w:val="000000"/>
          <w:sz w:val="24"/>
          <w:vertAlign w:val="superscript"/>
          <w:lang w:val="pl-PL"/>
        </w:rPr>
        <w:t>148</w:t>
      </w:r>
      <w:r>
        <w:rPr>
          <w:rFonts w:ascii="Times New Roman"/>
          <w:b w:val="false"/>
          <w:i w:val="false"/>
          <w:color w:val="000000"/>
          <w:sz w:val="24"/>
          <w:lang w:val="pl-PL"/>
        </w:rPr>
        <w:t xml:space="preserve"> </w:t>
      </w:r>
      <w:r>
        <w:rPr>
          <w:rFonts w:ascii="Times New Roman"/>
          <w:b w:val="false"/>
          <w:i w:val="false"/>
          <w:color w:val="000000"/>
          <w:sz w:val="24"/>
          <w:lang w:val="pl-PL"/>
        </w:rPr>
        <w:t>Zgoda może być wyrażona w formie ustnej lub dokumentowej, w szczególności z wykorzystaniem środków komunikacji elektronicznej. Zgoda wyrażona w formie ustnej wymaga udokumentowania w ciągu 14 dni od dnia jej wydania.</w:t>
      </w:r>
    </w:p>
    <w:p>
      <w:pPr>
        <w:spacing w:before="26" w:after="0"/>
        <w:ind w:left="0"/>
        <w:jc w:val="left"/>
        <w:textAlignment w:val="auto"/>
      </w:pPr>
      <w:r>
        <w:rPr>
          <w:rFonts w:ascii="Times New Roman"/>
          <w:b w:val="false"/>
          <w:i w:val="false"/>
          <w:color w:val="000000"/>
          <w:sz w:val="24"/>
          <w:lang w:val="pl-PL"/>
        </w:rPr>
        <w:t xml:space="preserve">2c. </w:t>
      </w:r>
      <w:r>
        <w:rPr>
          <w:rFonts w:ascii="Times New Roman"/>
          <w:b w:val="false"/>
          <w:i w:val="false"/>
          <w:color w:val="000000"/>
          <w:sz w:val="24"/>
          <w:vertAlign w:val="superscript"/>
          <w:lang w:val="pl-PL"/>
        </w:rPr>
        <w:t>149</w:t>
      </w:r>
      <w:r>
        <w:rPr>
          <w:rFonts w:ascii="Times New Roman"/>
          <w:b w:val="false"/>
          <w:i w:val="false"/>
          <w:color w:val="000000"/>
          <w:sz w:val="24"/>
          <w:lang w:val="pl-PL"/>
        </w:rPr>
        <w:t xml:space="preserve"> </w:t>
      </w:r>
      <w:r>
        <w:rPr>
          <w:rFonts w:ascii="Times New Roman"/>
          <w:b w:val="false"/>
          <w:i w:val="false"/>
          <w:color w:val="000000"/>
          <w:sz w:val="24"/>
          <w:lang w:val="pl-PL"/>
        </w:rPr>
        <w:t>O zapewnieniu wsparcia w obsłudze incydentów, o którym mowa w ust. 2 lub 2a, jest informowany właściwy CSIRT sektorowy.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zadań CSIRT MON, CSIRT NASK i CSIRT GOV, zgodnie z właściwością wskazaną w ust. 5-7, należy: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150</w:t>
      </w:r>
      <w:r>
        <w:rPr>
          <w:rFonts w:ascii="Times New Roman"/>
          <w:b w:val="false"/>
          <w:i w:val="false"/>
          <w:color w:val="000000"/>
          <w:sz w:val="24"/>
          <w:lang w:val="pl-PL"/>
        </w:rPr>
        <w:t xml:space="preserve"> </w:t>
      </w:r>
      <w:r>
        <w:rPr>
          <w:rFonts w:ascii="Times New Roman"/>
          <w:b w:val="false"/>
          <w:i w:val="false"/>
          <w:color w:val="000000"/>
          <w:sz w:val="24"/>
          <w:lang w:val="pl-PL"/>
        </w:rPr>
        <w:t>monitorowanie cyberzagrożeń i incydentów na poziomie krajowym;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151</w:t>
      </w:r>
      <w:r>
        <w:rPr>
          <w:rFonts w:ascii="Times New Roman"/>
          <w:b w:val="false"/>
          <w:i w:val="false"/>
          <w:color w:val="000000"/>
          <w:sz w:val="24"/>
          <w:lang w:val="pl-PL"/>
        </w:rPr>
        <w:t xml:space="preserve"> </w:t>
      </w:r>
      <w:r>
        <w:rPr>
          <w:rFonts w:ascii="Times New Roman"/>
          <w:b w:val="false"/>
          <w:i w:val="false"/>
          <w:color w:val="000000"/>
          <w:sz w:val="24"/>
          <w:lang w:val="pl-PL"/>
        </w:rPr>
        <w:t>szacowanie ryzyka związanego z ujawnionym cyberzagrożeniem oraz zaistniałymi incydentami, w tym zapewnianie dynamicznej analizy ryzyka;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152</w:t>
      </w:r>
      <w:r>
        <w:rPr>
          <w:rFonts w:ascii="Times New Roman"/>
          <w:b w:val="false"/>
          <w:i w:val="false"/>
          <w:color w:val="000000"/>
          <w:sz w:val="24"/>
          <w:lang w:val="pl-PL"/>
        </w:rPr>
        <w:t xml:space="preserve"> </w:t>
      </w:r>
      <w:r>
        <w:rPr>
          <w:rFonts w:ascii="Times New Roman"/>
          <w:b w:val="false"/>
          <w:i w:val="false"/>
          <w:color w:val="000000"/>
          <w:sz w:val="24"/>
          <w:lang w:val="pl-PL"/>
        </w:rPr>
        <w:t>przekazywanie informacji dotyczących cyberzagrożeń, podatności, incydentów i ryzyk, wczesne ostrzeganie i alarmowanie podmiotów krajowego systemu cyberbezpieczeństwa;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153</w:t>
      </w:r>
      <w:r>
        <w:rPr>
          <w:rFonts w:ascii="Times New Roman"/>
          <w:b w:val="false"/>
          <w:i w:val="false"/>
          <w:color w:val="000000"/>
          <w:sz w:val="24"/>
          <w:lang w:val="pl-PL"/>
        </w:rPr>
        <w:t xml:space="preserve"> </w:t>
      </w:r>
      <w:r>
        <w:rPr>
          <w:rFonts w:ascii="Times New Roman"/>
          <w:b w:val="false"/>
          <w:i w:val="false"/>
          <w:color w:val="000000"/>
          <w:sz w:val="24"/>
          <w:lang w:val="pl-PL"/>
        </w:rPr>
        <w:t>wydawanie komunikatów o zidentyfikowanych cyberzagrożeniach;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reagowanie na zgłoszone incydenty;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154</w:t>
      </w:r>
      <w:r>
        <w:rPr>
          <w:rFonts w:ascii="Times New Roman"/>
          <w:b w:val="false"/>
          <w:i w:val="false"/>
          <w:color w:val="000000"/>
          <w:sz w:val="24"/>
          <w:lang w:val="pl-PL"/>
        </w:rPr>
        <w:t xml:space="preserve"> </w:t>
      </w:r>
      <w:r>
        <w:rPr>
          <w:rFonts w:ascii="Times New Roman"/>
          <w:b w:val="false"/>
          <w:i w:val="false"/>
          <w:color w:val="000000"/>
          <w:sz w:val="24"/>
          <w:lang w:val="pl-PL"/>
        </w:rPr>
        <w:t>klasyfikowanie incydentów, w tym incydentów poważnych, jako incydenty krytyczne oraz koordynowanie obsługi incydentów krytycznych;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155</w:t>
      </w:r>
      <w:r>
        <w:rPr>
          <w:rFonts w:ascii="Times New Roman"/>
          <w:b w:val="false"/>
          <w:i w:val="false"/>
          <w:color w:val="000000"/>
          <w:sz w:val="24"/>
          <w:lang w:val="pl-PL"/>
        </w:rPr>
        <w:t xml:space="preserve"> </w:t>
      </w:r>
      <w:r>
        <w:rPr>
          <w:rFonts w:ascii="Times New Roman"/>
          <w:b w:val="false"/>
          <w:i w:val="false"/>
          <w:color w:val="000000"/>
          <w:sz w:val="24"/>
          <w:lang w:val="pl-PL"/>
        </w:rPr>
        <w:t>zmiana klasyfikacji incydentów;</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przekazywanie do właściwego CSIRT MON, CSIRT NASK lub CSIRT GOV informacji technicznych dotyczących incydentu, którego koordynacja obsługi wymaga współpracy CSIRT;</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przeprowadzanie w uzasadnionych przypadkach badania urządzenia informatycznego lub oprogramowania w celu identyfikacji podatności, której wykorzystanie może zagrozić w szczególności integralności, poufności, rozliczalności, autentyczności lub dostępności przetwarzanych danych, które może mieć wpływ na bezpieczeństwo publiczne lub istotny interes bezpieczeństwa państwa, oraz składanie wniosków w sprawie rekomendacji dla podmiotów krajowego systemu cyberbezpieczeństwa dotyczących stosowania urządzeń informatycznych lub oprogramowania, w szczególności w zakresie wpływu na bezpieczeństwo publiczne lub istotny interes bezpieczeństwa państwa, zwanych dalej "rekomendacjami dotyczącymi stosowania urządzeń informatycznych lub oprogramowania";</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156</w:t>
      </w:r>
      <w:r>
        <w:rPr>
          <w:rFonts w:ascii="Times New Roman"/>
          <w:b w:val="false"/>
          <w:i w:val="false"/>
          <w:color w:val="000000"/>
          <w:sz w:val="24"/>
          <w:lang w:val="pl-PL"/>
        </w:rPr>
        <w:t xml:space="preserve"> </w:t>
      </w:r>
      <w:r>
        <w:rPr>
          <w:rFonts w:ascii="Times New Roman"/>
          <w:b w:val="false"/>
          <w:i w:val="false"/>
          <w:color w:val="000000"/>
          <w:sz w:val="24"/>
          <w:lang w:val="pl-PL"/>
        </w:rPr>
        <w:t>współpraca z CSIRT sektorowymi w zakresie koordynowania obsługi incydentów poważnych, w tym dotyczących dwóch lub większej liczby państw członkowskich Unii Europejskiej, i incydentów krytycznych oraz w zakresie wymiany informacji pozwalających przeciwdziałać cyberzagrożeniom;</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157</w:t>
      </w:r>
      <w:r>
        <w:rPr>
          <w:rFonts w:ascii="Times New Roman"/>
          <w:b w:val="false"/>
          <w:i w:val="false"/>
          <w:color w:val="000000"/>
          <w:sz w:val="24"/>
          <w:lang w:val="pl-PL"/>
        </w:rPr>
        <w:t xml:space="preserve"> </w:t>
      </w:r>
      <w:r>
        <w:rPr>
          <w:rFonts w:ascii="Times New Roman"/>
          <w:b w:val="false"/>
          <w:i w:val="false"/>
          <w:color w:val="000000"/>
          <w:sz w:val="24"/>
          <w:lang w:val="pl-PL"/>
        </w:rPr>
        <w:t>przekazywanie do innych państw, w tym państw członkowskich Unii Europejskiej, i przyjmowanie z tych państw informacji o incydentach poważnych dotyczących dwóch lub większej liczby państw, a także przekazywanie do Pojedynczego Punktu Kontaktowego zgłoszenia incydentu poważnego dotyczącego dwóch lub większej liczby państw członkowskich Unii Europejskiej;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vertAlign w:val="superscript"/>
          <w:lang w:val="pl-PL"/>
        </w:rPr>
        <w:t>158</w:t>
      </w:r>
      <w:r>
        <w:rPr>
          <w:rFonts w:ascii="Times New Roman"/>
          <w:b w:val="false"/>
          <w:i w:val="false"/>
          <w:color w:val="000000"/>
          <w:sz w:val="24"/>
          <w:lang w:val="pl-PL"/>
        </w:rPr>
        <w:t xml:space="preserve"> </w:t>
      </w:r>
      <w:r>
        <w:rPr>
          <w:rFonts w:ascii="Times New Roman"/>
          <w:b w:val="false"/>
          <w:i w:val="false"/>
          <w:color w:val="000000"/>
          <w:sz w:val="24"/>
          <w:lang w:val="pl-PL"/>
        </w:rPr>
        <w:t>przekazywanie, w terminie 14 dni od zakończenia danego kwartału, do Pojedynczego Punktu Kontaktowego zestawienia zgłoszonych w poprzednich 3 miesiącach: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poważnych incydentów,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incydentów,</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cyberzagrożeń,</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potencjalnych zdarzeń dla cyberbezpieczeństwa;</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159</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wspólne opracowywanie i przekazywanie ministrowi właściwemu do spraw informatyzacji propozycji do ujęcia w projekcie Krajowej Oceny Ryzyka, o której mowa w </w:t>
      </w:r>
      <w:r>
        <w:rPr>
          <w:rFonts w:ascii="Times New Roman"/>
          <w:b w:val="false"/>
          <w:i w:val="false"/>
          <w:color w:val="1b1b1b"/>
          <w:sz w:val="24"/>
          <w:lang w:val="pl-PL"/>
        </w:rPr>
        <w:t>art. 6e ust. 1</w:t>
      </w:r>
      <w:r>
        <w:rPr>
          <w:rFonts w:ascii="Times New Roman"/>
          <w:b w:val="false"/>
          <w:i w:val="false"/>
          <w:color w:val="000000"/>
          <w:sz w:val="24"/>
          <w:lang w:val="pl-PL"/>
        </w:rPr>
        <w:t xml:space="preserve"> ustawy z dnia 26 kwietnia 2007 r. o zarządzaniu kryzysowym, dotyczących cyberbezpieczeństwa;</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zapewnienie zaplecza analitycznego oraz badawczo-rozwojowego, które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prowadzi zaawansowane analizy złośliwego oprogramowania oraz analizy podatności,</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vertAlign w:val="superscript"/>
          <w:lang w:val="pl-PL"/>
        </w:rPr>
        <w:t>160</w:t>
      </w:r>
      <w:r>
        <w:rPr>
          <w:rFonts w:ascii="Times New Roman"/>
          <w:b w:val="false"/>
          <w:i w:val="false"/>
          <w:color w:val="000000"/>
          <w:sz w:val="24"/>
          <w:lang w:val="pl-PL"/>
        </w:rPr>
        <w:t xml:space="preserve"> </w:t>
      </w:r>
      <w:r>
        <w:rPr>
          <w:rFonts w:ascii="Times New Roman"/>
          <w:b w:val="false"/>
          <w:i w:val="false"/>
          <w:color w:val="000000"/>
          <w:sz w:val="24"/>
          <w:lang w:val="pl-PL"/>
        </w:rPr>
        <w:t>monitoruje wskaźniki cyberzagrożeń,</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vertAlign w:val="superscript"/>
          <w:lang w:val="pl-PL"/>
        </w:rPr>
        <w:t>161</w:t>
      </w:r>
      <w:r>
        <w:rPr>
          <w:rFonts w:ascii="Times New Roman"/>
          <w:b w:val="false"/>
          <w:i w:val="false"/>
          <w:color w:val="000000"/>
          <w:sz w:val="24"/>
          <w:lang w:val="pl-PL"/>
        </w:rPr>
        <w:t xml:space="preserve"> </w:t>
      </w:r>
      <w:r>
        <w:rPr>
          <w:rFonts w:ascii="Times New Roman"/>
          <w:b w:val="false"/>
          <w:i w:val="false"/>
          <w:color w:val="000000"/>
          <w:sz w:val="24"/>
          <w:lang w:val="pl-PL"/>
        </w:rPr>
        <w:t>rozwija narzędzia i metody do wykrywania i zwalczania cyberzagrożeń,</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prowadzi analizy i opracowuje standardy, rekomendacje i dobre praktyki w zakresie cyberbezpieczeństwa,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wspiera podmioty krajowego systemu cyberbezpieczeństwa w budowaniu potencjału i zdolności w obszarze cyberbezpieczeństwa,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prowadzi działania z zakresu budowania świadomości w obszarze cyberbezpieczeństwa,</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współpracuje w zakresie rozwiązań edukacyjnych w obszarze cyberbezpieczeństwa;</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162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vertAlign w:val="superscript"/>
          <w:lang w:val="pl-PL"/>
        </w:rPr>
        <w:t>163</w:t>
      </w:r>
      <w:r>
        <w:rPr>
          <w:rFonts w:ascii="Times New Roman"/>
          <w:b w:val="false"/>
          <w:i w:val="false"/>
          <w:color w:val="000000"/>
          <w:sz w:val="24"/>
          <w:lang w:val="pl-PL"/>
        </w:rPr>
        <w:t xml:space="preserve"> </w:t>
      </w:r>
      <w:r>
        <w:rPr>
          <w:rFonts w:ascii="Times New Roman"/>
          <w:b w:val="false"/>
          <w:i w:val="false"/>
          <w:color w:val="000000"/>
          <w:sz w:val="24"/>
          <w:lang w:val="pl-PL"/>
        </w:rPr>
        <w:t>udział w Sieci CSIRT składającej się z przedstawicieli CSIRT państw członkowskich Unii Europejskiej, CSIRT właściwego dla instytucji Unii Europejskiej oraz Komisji Europejskiej;</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vertAlign w:val="superscript"/>
          <w:lang w:val="pl-PL"/>
        </w:rPr>
        <w:t>164</w:t>
      </w:r>
      <w:r>
        <w:rPr>
          <w:rFonts w:ascii="Times New Roman"/>
          <w:b w:val="false"/>
          <w:i w:val="false"/>
          <w:color w:val="000000"/>
          <w:sz w:val="24"/>
          <w:lang w:val="pl-PL"/>
        </w:rPr>
        <w:t xml:space="preserve"> </w:t>
      </w:r>
      <w:r>
        <w:rPr>
          <w:rFonts w:ascii="Times New Roman"/>
          <w:b w:val="false"/>
          <w:i w:val="false"/>
          <w:color w:val="000000"/>
          <w:sz w:val="24"/>
          <w:lang w:val="pl-PL"/>
        </w:rPr>
        <w:t>w odpowiednich przypadkach gromadzenie i zabezpieczanie danych na potrzeby postępowań karnych;</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vertAlign w:val="superscript"/>
          <w:lang w:val="pl-PL"/>
        </w:rPr>
        <w:t>165</w:t>
      </w:r>
      <w:r>
        <w:rPr>
          <w:rFonts w:ascii="Times New Roman"/>
          <w:b w:val="false"/>
          <w:i w:val="false"/>
          <w:color w:val="000000"/>
          <w:sz w:val="24"/>
          <w:lang w:val="pl-PL"/>
        </w:rPr>
        <w:t xml:space="preserve"> </w:t>
      </w:r>
      <w:r>
        <w:rPr>
          <w:rFonts w:ascii="Times New Roman"/>
          <w:b w:val="false"/>
          <w:i w:val="false"/>
          <w:color w:val="000000"/>
          <w:sz w:val="24"/>
          <w:lang w:val="pl-PL"/>
        </w:rPr>
        <w:t>współpraca z sektorowymi i międzysektorowymi społecznościami podmiotów kluczowych lub podmiotów ważnych oraz wymiana informacji dotyczących cyberbezpieczeństwa, jeżeli wymiana informacji zapewnia zwiększenie poziomu cyberbezpieczeństwa lub służy przeciwdziałaniu incydentom;</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vertAlign w:val="superscript"/>
          <w:lang w:val="pl-PL"/>
        </w:rPr>
        <w:t>166</w:t>
      </w:r>
      <w:r>
        <w:rPr>
          <w:rFonts w:ascii="Times New Roman"/>
          <w:b w:val="false"/>
          <w:i w:val="false"/>
          <w:color w:val="000000"/>
          <w:sz w:val="24"/>
          <w:lang w:val="pl-PL"/>
        </w:rPr>
        <w:t xml:space="preserve"> </w:t>
      </w:r>
      <w:r>
        <w:rPr>
          <w:rFonts w:ascii="Times New Roman"/>
          <w:b w:val="false"/>
          <w:i w:val="false"/>
          <w:color w:val="000000"/>
          <w:sz w:val="24"/>
          <w:lang w:val="pl-PL"/>
        </w:rPr>
        <w:t>współpraca z krajowymi zespołami reagowania na incydenty bezpieczeństwa komputerowego z państw trzecich;</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vertAlign w:val="superscript"/>
          <w:lang w:val="pl-PL"/>
        </w:rPr>
        <w:t>167</w:t>
      </w:r>
      <w:r>
        <w:rPr>
          <w:rFonts w:ascii="Times New Roman"/>
          <w:b w:val="false"/>
          <w:i w:val="false"/>
          <w:color w:val="000000"/>
          <w:sz w:val="24"/>
          <w:lang w:val="pl-PL"/>
        </w:rPr>
        <w:t xml:space="preserve"> </w:t>
      </w:r>
      <w:r>
        <w:rPr>
          <w:rFonts w:ascii="Times New Roman"/>
          <w:b w:val="false"/>
          <w:i w:val="false"/>
          <w:color w:val="000000"/>
          <w:sz w:val="24"/>
          <w:lang w:val="pl-PL"/>
        </w:rPr>
        <w:t>udział we wdrażaniu bezpiecznych narzędzi wymiany informacji z podmiotami kluczowymi i podmiotami ważnymi oraz innymi podmiotami;</w:t>
      </w:r>
    </w:p>
    <w:p>
      <w:pPr>
        <w:spacing w:before="26" w:after="0"/>
        <w:ind w:left="373"/>
        <w:jc w:val="left"/>
        <w:textAlignment w:val="auto"/>
      </w:pPr>
      <w:r>
        <w:rPr>
          <w:rFonts w:ascii="Times New Roman"/>
          <w:b w:val="false"/>
          <w:i w:val="false"/>
          <w:color w:val="000000"/>
          <w:sz w:val="24"/>
          <w:lang w:val="pl-PL"/>
        </w:rPr>
        <w:t xml:space="preserve">21) </w:t>
      </w:r>
      <w:r>
        <w:rPr>
          <w:rFonts w:ascii="Times New Roman"/>
          <w:b w:val="false"/>
          <w:i w:val="false"/>
          <w:color w:val="000000"/>
          <w:sz w:val="24"/>
          <w:vertAlign w:val="superscript"/>
          <w:lang w:val="pl-PL"/>
        </w:rPr>
        <w:t>168</w:t>
      </w:r>
      <w:r>
        <w:rPr>
          <w:rFonts w:ascii="Times New Roman"/>
          <w:b w:val="false"/>
          <w:i w:val="false"/>
          <w:color w:val="000000"/>
          <w:sz w:val="24"/>
          <w:lang w:val="pl-PL"/>
        </w:rPr>
        <w:t xml:space="preserve"> </w:t>
      </w:r>
      <w:r>
        <w:rPr>
          <w:rFonts w:ascii="Times New Roman"/>
          <w:b w:val="false"/>
          <w:i w:val="false"/>
          <w:color w:val="000000"/>
          <w:sz w:val="24"/>
          <w:lang w:val="pl-PL"/>
        </w:rPr>
        <w:t>prowadzenie działań na rzecz podnoszenia poziomu bezpieczeństwa systemów informacyjnych podmiotów krajowego systemu cyberbezpieczeństwa przez: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wykonywanie oceny bezpieczeństwa,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identyfikowanie podatności systemów dostępnych w otwartych sieciach teleinformatycznych, a także powiadamianie właścicieli tych systemów o wykrytych podatnościach oraz cyberzagrożeniach;</w:t>
      </w:r>
    </w:p>
    <w:p>
      <w:pPr>
        <w:spacing w:before="26" w:after="0"/>
        <w:ind w:left="373"/>
        <w:jc w:val="left"/>
        <w:textAlignment w:val="auto"/>
      </w:pPr>
      <w:r>
        <w:rPr>
          <w:rFonts w:ascii="Times New Roman"/>
          <w:b w:val="false"/>
          <w:i w:val="false"/>
          <w:color w:val="000000"/>
          <w:sz w:val="24"/>
          <w:lang w:val="pl-PL"/>
        </w:rPr>
        <w:t xml:space="preserve">22) </w:t>
      </w:r>
      <w:r>
        <w:rPr>
          <w:rFonts w:ascii="Times New Roman"/>
          <w:b w:val="false"/>
          <w:i w:val="false"/>
          <w:color w:val="000000"/>
          <w:sz w:val="24"/>
          <w:vertAlign w:val="superscript"/>
          <w:lang w:val="pl-PL"/>
        </w:rPr>
        <w:t>169</w:t>
      </w:r>
      <w:r>
        <w:rPr>
          <w:rFonts w:ascii="Times New Roman"/>
          <w:b w:val="false"/>
          <w:i w:val="false"/>
          <w:color w:val="000000"/>
          <w:sz w:val="24"/>
          <w:lang w:val="pl-PL"/>
        </w:rPr>
        <w:t xml:space="preserve"> </w:t>
      </w:r>
      <w:r>
        <w:rPr>
          <w:rFonts w:ascii="Times New Roman"/>
          <w:b w:val="false"/>
          <w:i w:val="false"/>
          <w:color w:val="000000"/>
          <w:sz w:val="24"/>
          <w:lang w:val="pl-PL"/>
        </w:rPr>
        <w:t>promowanie, przyjmowanie i stosowanie wspólnych lub znormalizowanych praktyk, systemów klasyfikacji i systematyki związanych 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procedurami obsługi incydentu,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zarządzaniem kryzysowym w obszarze cyberbezpieczeństwa,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ujawnianiem podatności;</w:t>
      </w:r>
    </w:p>
    <w:p>
      <w:pPr>
        <w:spacing w:before="26" w:after="0"/>
        <w:ind w:left="373"/>
        <w:jc w:val="left"/>
        <w:textAlignment w:val="auto"/>
      </w:pPr>
      <w:r>
        <w:rPr>
          <w:rFonts w:ascii="Times New Roman"/>
          <w:b w:val="false"/>
          <w:i w:val="false"/>
          <w:color w:val="000000"/>
          <w:sz w:val="24"/>
          <w:lang w:val="pl-PL"/>
        </w:rPr>
        <w:t xml:space="preserve">23) </w:t>
      </w:r>
      <w:r>
        <w:rPr>
          <w:rFonts w:ascii="Times New Roman"/>
          <w:b w:val="false"/>
          <w:i w:val="false"/>
          <w:color w:val="000000"/>
          <w:sz w:val="24"/>
          <w:vertAlign w:val="superscript"/>
          <w:lang w:val="pl-PL"/>
        </w:rPr>
        <w:t>170</w:t>
      </w:r>
      <w:r>
        <w:rPr>
          <w:rFonts w:ascii="Times New Roman"/>
          <w:b w:val="false"/>
          <w:i w:val="false"/>
          <w:color w:val="000000"/>
          <w:sz w:val="24"/>
          <w:lang w:val="pl-PL"/>
        </w:rPr>
        <w:t xml:space="preserve"> </w:t>
      </w:r>
      <w:r>
        <w:rPr>
          <w:rFonts w:ascii="Times New Roman"/>
          <w:b w:val="false"/>
          <w:i w:val="false"/>
          <w:color w:val="000000"/>
          <w:sz w:val="24"/>
          <w:lang w:val="pl-PL"/>
        </w:rPr>
        <w:t>przekazywanie Pełnomocnikowi sprawozdania z wykonywania swoich zadań ustawowych zawierającego w szczególności informacje o zgłoszonych do CSIRT incydentach krytycznych, incydentach poważnych, incydentach, cyberzagrożeniach oraz potencjalnych zdarzeniach dla cyberbezpieczeństwa.</w:t>
      </w:r>
    </w:p>
    <w:p>
      <w:pPr>
        <w:spacing w:before="26" w:after="0"/>
        <w:ind w:left="0"/>
        <w:jc w:val="left"/>
        <w:textAlignment w:val="auto"/>
      </w:pPr>
      <w:r>
        <w:rPr>
          <w:rFonts w:ascii="Times New Roman"/>
          <w:b w:val="false"/>
          <w:i w:val="false"/>
          <w:color w:val="000000"/>
          <w:sz w:val="24"/>
          <w:lang w:val="pl-PL"/>
        </w:rPr>
        <w:t xml:space="preserve">3a. </w:t>
      </w:r>
      <w:r>
        <w:rPr>
          <w:rFonts w:ascii="Times New Roman"/>
          <w:b w:val="false"/>
          <w:i w:val="false"/>
          <w:color w:val="000000"/>
          <w:sz w:val="24"/>
          <w:vertAlign w:val="superscript"/>
          <w:lang w:val="pl-PL"/>
        </w:rPr>
        <w:t>171</w:t>
      </w:r>
      <w:r>
        <w:rPr>
          <w:rFonts w:ascii="Times New Roman"/>
          <w:b w:val="false"/>
          <w:i w:val="false"/>
          <w:color w:val="000000"/>
          <w:sz w:val="24"/>
          <w:lang w:val="pl-PL"/>
        </w:rPr>
        <w:t xml:space="preserve"> </w:t>
      </w:r>
      <w:r>
        <w:rPr>
          <w:rFonts w:ascii="Times New Roman"/>
          <w:b w:val="false"/>
          <w:i w:val="false"/>
          <w:color w:val="000000"/>
          <w:sz w:val="24"/>
          <w:lang w:val="pl-PL"/>
        </w:rPr>
        <w:t>Przy realizacji zadania, o którym mowa w ust. 3 pkt 19, CSIRT MON, CSIRT NASK i CSIRT GOV mogą wymieniać informacje, w tym dane osobowe w celu informowania o potencjalnych cyberzagrożeniach oraz zastosowanych sposobach ich zwalczania, w celu przeciwdziałania cyberzagrożeniom o charakterze transgranicznym. Informacje, w tym dane osobowe, o których mowa w zdaniu pierwszym, przekazuje się w postaci elektronicznej.</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172</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wspólnie opracowują główne elementy procedur postępowania w przypadku incydentu, którego koordynacja obsługi wymaga współpracy CSIRT, oraz określą we współpracy z CSIRT sektorowymi sposób współdziałania z tymi zespołami, w tym sposób koordynacji obsługi incydentu.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 zadań CSIRT MON należy koordynacja obsługi incydentów zgłaszanych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173</w:t>
      </w:r>
      <w:r>
        <w:rPr>
          <w:rFonts w:ascii="Times New Roman"/>
          <w:b w:val="false"/>
          <w:i w:val="false"/>
          <w:color w:val="000000"/>
          <w:sz w:val="24"/>
          <w:lang w:val="pl-PL"/>
        </w:rPr>
        <w:t xml:space="preserve"> </w:t>
      </w:r>
      <w:r>
        <w:rPr>
          <w:rFonts w:ascii="Times New Roman"/>
          <w:b w:val="false"/>
          <w:i w:val="false"/>
          <w:color w:val="000000"/>
          <w:sz w:val="24"/>
          <w:lang w:val="pl-PL"/>
        </w:rPr>
        <w:t>podmioty podległe Ministrowi Obrony Narodowej lub przez niego nadzorowane;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przedsiębiorcy realizujący zadania na rzecz Sił Zbrojnych, o których mowa w </w:t>
      </w:r>
      <w:r>
        <w:rPr>
          <w:rFonts w:ascii="Times New Roman"/>
          <w:b w:val="false"/>
          <w:i w:val="false"/>
          <w:color w:val="1b1b1b"/>
          <w:sz w:val="24"/>
          <w:lang w:val="pl-PL"/>
        </w:rPr>
        <w:t>art. 648</w:t>
      </w:r>
      <w:r>
        <w:rPr>
          <w:rFonts w:ascii="Times New Roman"/>
          <w:b w:val="false"/>
          <w:i w:val="false"/>
          <w:color w:val="000000"/>
          <w:sz w:val="24"/>
          <w:lang w:val="pl-PL"/>
        </w:rPr>
        <w:t xml:space="preserve"> ustawy z dnia 11 marca 2022 r. o obronie Ojczyzny (Dz. U. z 2025 r. poz. 825, 1014 i 1080);</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174</w:t>
      </w:r>
      <w:r>
        <w:rPr>
          <w:rFonts w:ascii="Times New Roman"/>
          <w:b w:val="false"/>
          <w:i w:val="false"/>
          <w:color w:val="000000"/>
          <w:sz w:val="24"/>
          <w:lang w:val="pl-PL"/>
        </w:rPr>
        <w:t xml:space="preserve"> </w:t>
      </w:r>
      <w:r>
        <w:rPr>
          <w:rFonts w:ascii="Times New Roman"/>
          <w:b w:val="false"/>
          <w:i w:val="false"/>
          <w:color w:val="000000"/>
          <w:sz w:val="24"/>
          <w:lang w:val="pl-PL"/>
        </w:rPr>
        <w:t>Ministra Obrony Narodowej.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Do zadań CSIRT NASK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koordynacja obsługi incydentów zgłaszanych przez:</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vertAlign w:val="superscript"/>
          <w:lang w:val="pl-PL"/>
        </w:rPr>
        <w:t>175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sektora finansów publicznych, o których mowa w </w:t>
      </w:r>
      <w:r>
        <w:rPr>
          <w:rFonts w:ascii="Times New Roman"/>
          <w:b w:val="false"/>
          <w:i w:val="false"/>
          <w:color w:val="1b1b1b"/>
          <w:sz w:val="24"/>
          <w:lang w:val="pl-PL"/>
        </w:rPr>
        <w:t>art. 9 pkt 2a-6</w:t>
      </w:r>
      <w:r>
        <w:rPr>
          <w:rFonts w:ascii="Times New Roman"/>
          <w:b w:val="false"/>
          <w:i w:val="false"/>
          <w:color w:val="000000"/>
          <w:sz w:val="24"/>
          <w:lang w:val="pl-PL"/>
        </w:rPr>
        <w:t xml:space="preserve"> i </w:t>
      </w:r>
      <w:r>
        <w:rPr>
          <w:rFonts w:ascii="Times New Roman"/>
          <w:b w:val="false"/>
          <w:i w:val="false"/>
          <w:color w:val="1b1b1b"/>
          <w:sz w:val="24"/>
          <w:lang w:val="pl-PL"/>
        </w:rPr>
        <w:t>10-13</w:t>
      </w:r>
      <w:r>
        <w:rPr>
          <w:rFonts w:ascii="Times New Roman"/>
          <w:b w:val="false"/>
          <w:i w:val="false"/>
          <w:color w:val="000000"/>
          <w:sz w:val="24"/>
          <w:lang w:val="pl-PL"/>
        </w:rPr>
        <w:t xml:space="preserve"> ustawy z dnia 27 sierpnia 2009 r. o finansach publicznych, z wyjątkiem podmiotów, o których mowa w ust. 5,</w:t>
      </w:r>
    </w:p>
    <w:p>
      <w:pPr>
        <w:spacing w:after="0"/>
        <w:ind w:left="746"/>
        <w:jc w:val="left"/>
        <w:textAlignment w:val="auto"/>
      </w:pPr>
      <w:r>
        <w:rPr>
          <w:rFonts w:ascii="Times New Roman"/>
          <w:b w:val="false"/>
          <w:i w:val="false"/>
          <w:color w:val="000000"/>
          <w:sz w:val="24"/>
          <w:lang w:val="pl-PL"/>
        </w:rPr>
        <w:t xml:space="preserve">aa) </w:t>
      </w:r>
      <w:r>
        <w:rPr>
          <w:rFonts w:ascii="Times New Roman"/>
          <w:b w:val="false"/>
          <w:i w:val="false"/>
          <w:color w:val="000000"/>
          <w:sz w:val="24"/>
          <w:vertAlign w:val="superscript"/>
          <w:lang w:val="pl-PL"/>
        </w:rPr>
        <w:t>176</w:t>
      </w:r>
      <w:r>
        <w:rPr>
          <w:rFonts w:ascii="Times New Roman"/>
          <w:b w:val="false"/>
          <w:i w:val="false"/>
          <w:color w:val="000000"/>
          <w:sz w:val="24"/>
          <w:lang w:val="pl-PL"/>
        </w:rPr>
        <w:t xml:space="preserve"> </w:t>
      </w:r>
      <w:r>
        <w:rPr>
          <w:rFonts w:ascii="Times New Roman"/>
          <w:b w:val="false"/>
          <w:i w:val="false"/>
          <w:color w:val="000000"/>
          <w:sz w:val="24"/>
          <w:lang w:val="pl-PL"/>
        </w:rPr>
        <w:t xml:space="preserve">urzędy obsługujące jednostki sektora finansów publicznych, o których mowa w </w:t>
      </w:r>
      <w:r>
        <w:rPr>
          <w:rFonts w:ascii="Times New Roman"/>
          <w:b w:val="false"/>
          <w:i w:val="false"/>
          <w:color w:val="1b1b1b"/>
          <w:sz w:val="24"/>
          <w:lang w:val="pl-PL"/>
        </w:rPr>
        <w:t>art. 9 pkt 2</w:t>
      </w:r>
      <w:r>
        <w:rPr>
          <w:rFonts w:ascii="Times New Roman"/>
          <w:b w:val="false"/>
          <w:i w:val="false"/>
          <w:color w:val="000000"/>
          <w:sz w:val="24"/>
          <w:lang w:val="pl-PL"/>
        </w:rPr>
        <w:t xml:space="preserve"> ustawy z dnia 27 sierpnia 2009 r. o finansach publicznych,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vertAlign w:val="superscript"/>
          <w:lang w:val="pl-PL"/>
        </w:rPr>
        <w:t>177</w:t>
      </w:r>
      <w:r>
        <w:rPr>
          <w:rFonts w:ascii="Times New Roman"/>
          <w:b w:val="false"/>
          <w:i w:val="false"/>
          <w:color w:val="000000"/>
          <w:sz w:val="24"/>
          <w:lang w:val="pl-PL"/>
        </w:rPr>
        <w:t xml:space="preserve"> </w:t>
      </w:r>
      <w:r>
        <w:rPr>
          <w:rFonts w:ascii="Times New Roman"/>
          <w:b w:val="false"/>
          <w:i w:val="false"/>
          <w:color w:val="000000"/>
          <w:sz w:val="24"/>
          <w:lang w:val="pl-PL"/>
        </w:rPr>
        <w:t>jednostki podległe organom administracji rządowej lub przez nie nadzorowane, z wyjątkiem podmiotów, o których mowa w ust. 5, oraz jednostek, o których mowa w ust. 7 pkt 2,</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vertAlign w:val="superscript"/>
          <w:lang w:val="pl-PL"/>
        </w:rPr>
        <w:t>178</w:t>
      </w:r>
      <w:r>
        <w:rPr>
          <w:rFonts w:ascii="Times New Roman"/>
          <w:b w:val="false"/>
          <w:i w:val="false"/>
          <w:color w:val="000000"/>
          <w:sz w:val="24"/>
          <w:lang w:val="pl-PL"/>
        </w:rPr>
        <w:t xml:space="preserve"> </w:t>
      </w:r>
      <w:r>
        <w:rPr>
          <w:rFonts w:ascii="Times New Roman"/>
          <w:b w:val="false"/>
          <w:i w:val="false"/>
          <w:color w:val="000000"/>
          <w:sz w:val="24"/>
          <w:lang w:val="pl-PL"/>
        </w:rPr>
        <w:t>instytuty badawcze, z wyjątkiem podmiotów, o których mowa w ust. 5,</w:t>
      </w:r>
    </w:p>
    <w:p>
      <w:pPr>
        <w:spacing w:after="0"/>
        <w:ind w:left="746"/>
        <w:jc w:val="left"/>
        <w:textAlignment w:val="auto"/>
      </w:pPr>
      <w:r>
        <w:rPr>
          <w:rFonts w:ascii="Times New Roman"/>
          <w:b w:val="false"/>
          <w:i w:val="false"/>
          <w:color w:val="000000"/>
          <w:sz w:val="24"/>
          <w:lang w:val="pl-PL"/>
        </w:rPr>
        <w:t xml:space="preserve">ca) </w:t>
      </w:r>
      <w:r>
        <w:rPr>
          <w:rFonts w:ascii="Times New Roman"/>
          <w:b w:val="false"/>
          <w:i w:val="false"/>
          <w:color w:val="000000"/>
          <w:sz w:val="24"/>
          <w:vertAlign w:val="superscript"/>
          <w:lang w:val="pl-PL"/>
        </w:rPr>
        <w:t>179</w:t>
      </w:r>
      <w:r>
        <w:rPr>
          <w:rFonts w:ascii="Times New Roman"/>
          <w:b w:val="false"/>
          <w:i w:val="false"/>
          <w:color w:val="000000"/>
          <w:sz w:val="24"/>
          <w:lang w:val="pl-PL"/>
        </w:rPr>
        <w:t xml:space="preserve"> </w:t>
      </w:r>
      <w:r>
        <w:rPr>
          <w:rFonts w:ascii="Times New Roman"/>
          <w:b w:val="false"/>
          <w:i w:val="false"/>
          <w:color w:val="000000"/>
          <w:sz w:val="24"/>
          <w:lang w:val="pl-PL"/>
        </w:rPr>
        <w:t>międzynarodowe instytuty badawcze, z wyjątkiem podmiotów, o których mowa w ust. 5 pkt 2,</w:t>
      </w:r>
    </w:p>
    <w:p>
      <w:pPr>
        <w:spacing w:after="0"/>
        <w:ind w:left="746"/>
        <w:jc w:val="left"/>
        <w:textAlignment w:val="auto"/>
      </w:pPr>
      <w:r>
        <w:rPr>
          <w:rFonts w:ascii="Times New Roman"/>
          <w:b w:val="false"/>
          <w:i w:val="false"/>
          <w:color w:val="000000"/>
          <w:sz w:val="24"/>
          <w:lang w:val="pl-PL"/>
        </w:rPr>
        <w:t xml:space="preserve">cb) </w:t>
      </w:r>
      <w:r>
        <w:rPr>
          <w:rFonts w:ascii="Times New Roman"/>
          <w:b w:val="false"/>
          <w:i w:val="false"/>
          <w:color w:val="000000"/>
          <w:sz w:val="24"/>
          <w:vertAlign w:val="superscript"/>
          <w:lang w:val="pl-PL"/>
        </w:rPr>
        <w:t>180</w:t>
      </w:r>
      <w:r>
        <w:rPr>
          <w:rFonts w:ascii="Times New Roman"/>
          <w:b w:val="false"/>
          <w:i w:val="false"/>
          <w:color w:val="000000"/>
          <w:sz w:val="24"/>
          <w:lang w:val="pl-PL"/>
        </w:rPr>
        <w:t xml:space="preserve"> </w:t>
      </w:r>
      <w:r>
        <w:rPr>
          <w:rFonts w:ascii="Times New Roman"/>
          <w:b w:val="false"/>
          <w:i w:val="false"/>
          <w:color w:val="000000"/>
          <w:sz w:val="24"/>
          <w:lang w:val="pl-PL"/>
        </w:rPr>
        <w:t>Centrum Łukasiewicz,</w:t>
      </w:r>
    </w:p>
    <w:p>
      <w:pPr>
        <w:spacing w:after="0"/>
        <w:ind w:left="746"/>
        <w:jc w:val="left"/>
        <w:textAlignment w:val="auto"/>
      </w:pPr>
      <w:r>
        <w:rPr>
          <w:rFonts w:ascii="Times New Roman"/>
          <w:b w:val="false"/>
          <w:i w:val="false"/>
          <w:color w:val="000000"/>
          <w:sz w:val="24"/>
          <w:lang w:val="pl-PL"/>
        </w:rPr>
        <w:t xml:space="preserve">cc) </w:t>
      </w:r>
      <w:r>
        <w:rPr>
          <w:rFonts w:ascii="Times New Roman"/>
          <w:b w:val="false"/>
          <w:i w:val="false"/>
          <w:color w:val="000000"/>
          <w:sz w:val="24"/>
          <w:vertAlign w:val="superscript"/>
          <w:lang w:val="pl-PL"/>
        </w:rPr>
        <w:t>181</w:t>
      </w:r>
      <w:r>
        <w:rPr>
          <w:rFonts w:ascii="Times New Roman"/>
          <w:b w:val="false"/>
          <w:i w:val="false"/>
          <w:color w:val="000000"/>
          <w:sz w:val="24"/>
          <w:lang w:val="pl-PL"/>
        </w:rPr>
        <w:t xml:space="preserve"> </w:t>
      </w:r>
      <w:r>
        <w:rPr>
          <w:rFonts w:ascii="Times New Roman"/>
          <w:b w:val="false"/>
          <w:i w:val="false"/>
          <w:color w:val="000000"/>
          <w:sz w:val="24"/>
          <w:lang w:val="pl-PL"/>
        </w:rPr>
        <w:t>instytuty działające w ramach Sieci Badawczej Łukasiewicz, z wyjątkiem podmiotów, o których mowa w ust. 5 pkt 2,</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Urząd Dozoru Technicznego,</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vertAlign w:val="superscript"/>
          <w:lang w:val="pl-PL"/>
        </w:rPr>
        <w:t>182</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Polskie Centrum Akredytacji,</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Narodowy Fundusz Ochrony Środowiska i Gospodarki Wodnej oraz wojewódzkie fundusze ochrony środowiska i gospodarki wodnej,</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spółki prawa handlowego wykonujące zadania o charakterze użyteczności publicznej w rozumieniu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20 grudnia 1996 r. o gospodarce komunalnej,</w:t>
      </w:r>
    </w:p>
    <w:p>
      <w:pPr>
        <w:spacing w:after="0"/>
        <w:ind w:left="746"/>
        <w:jc w:val="left"/>
        <w:textAlignment w:val="auto"/>
      </w:pPr>
      <w:r>
        <w:rPr>
          <w:rFonts w:ascii="Times New Roman"/>
          <w:b w:val="false"/>
          <w:i w:val="false"/>
          <w:color w:val="000000"/>
          <w:sz w:val="24"/>
          <w:lang w:val="pl-PL"/>
        </w:rPr>
        <w:t xml:space="preserve">i) </w:t>
      </w:r>
      <w:r>
        <w:rPr>
          <w:rFonts w:ascii="Times New Roman"/>
          <w:b w:val="false"/>
          <w:i w:val="false"/>
          <w:color w:val="000000"/>
          <w:sz w:val="24"/>
          <w:vertAlign w:val="superscript"/>
          <w:lang w:val="pl-PL"/>
        </w:rPr>
        <w:t>183</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 xml:space="preserve">j) </w:t>
      </w:r>
      <w:r>
        <w:rPr>
          <w:rFonts w:ascii="Times New Roman"/>
          <w:b w:val="false"/>
          <w:i w:val="false"/>
          <w:color w:val="000000"/>
          <w:sz w:val="24"/>
          <w:vertAlign w:val="superscript"/>
          <w:lang w:val="pl-PL"/>
        </w:rPr>
        <w:t>184</w:t>
      </w:r>
      <w:r>
        <w:rPr>
          <w:rFonts w:ascii="Times New Roman"/>
          <w:b w:val="false"/>
          <w:i w:val="false"/>
          <w:color w:val="000000"/>
          <w:sz w:val="24"/>
          <w:lang w:val="pl-PL"/>
        </w:rPr>
        <w:t xml:space="preserve"> </w:t>
      </w:r>
      <w:r>
        <w:rPr>
          <w:rFonts w:ascii="Times New Roman"/>
          <w:b w:val="false"/>
          <w:i w:val="false"/>
          <w:color w:val="000000"/>
          <w:sz w:val="24"/>
          <w:lang w:val="pl-PL"/>
        </w:rPr>
        <w:t>podmioty kluczowe lub podmioty ważne, z wyjątkiem wymienionych w ust. 5 i 7,</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w:t>
      </w:r>
      <w:r>
        <w:rPr>
          <w:rFonts w:ascii="Times New Roman"/>
          <w:b w:val="false"/>
          <w:i w:val="false"/>
          <w:color w:val="000000"/>
          <w:sz w:val="24"/>
          <w:lang w:val="pl-PL"/>
        </w:rPr>
        <w:t xml:space="preserve">inne podmioty niż wymienione w </w:t>
      </w:r>
      <w:r>
        <w:rPr>
          <w:rFonts w:ascii="Times New Roman"/>
          <w:b w:val="false"/>
          <w:i w:val="false"/>
          <w:color w:val="1b1b1b"/>
          <w:sz w:val="24"/>
          <w:lang w:val="pl-PL"/>
        </w:rPr>
        <w:t>lit. a-j</w:t>
      </w:r>
      <w:r>
        <w:rPr>
          <w:rFonts w:ascii="Times New Roman"/>
          <w:b w:val="false"/>
          <w:i w:val="false"/>
          <w:color w:val="000000"/>
          <w:sz w:val="24"/>
          <w:lang w:val="pl-PL"/>
        </w:rPr>
        <w:t xml:space="preserve"> oraz </w:t>
      </w:r>
      <w:r>
        <w:rPr>
          <w:rFonts w:ascii="Times New Roman"/>
          <w:b w:val="false"/>
          <w:i w:val="false"/>
          <w:color w:val="1b1b1b"/>
          <w:sz w:val="24"/>
          <w:lang w:val="pl-PL"/>
        </w:rPr>
        <w:t>ust. 5</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l)</w:t>
      </w:r>
      <w:r>
        <w:rPr>
          <w:rFonts w:ascii="Times New Roman"/>
          <w:b w:val="false"/>
          <w:i w:val="false"/>
          <w:color w:val="000000"/>
          <w:sz w:val="24"/>
          <w:lang w:val="pl-PL"/>
        </w:rPr>
        <w:t xml:space="preserve"> </w:t>
      </w:r>
      <w:r>
        <w:rPr>
          <w:rFonts w:ascii="Times New Roman"/>
          <w:b w:val="false"/>
          <w:i w:val="false"/>
          <w:color w:val="000000"/>
          <w:sz w:val="24"/>
          <w:lang w:val="pl-PL"/>
        </w:rPr>
        <w:t>osoby fizyczne;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185</w:t>
      </w:r>
      <w:r>
        <w:rPr>
          <w:rFonts w:ascii="Times New Roman"/>
          <w:b w:val="false"/>
          <w:i w:val="false"/>
          <w:color w:val="000000"/>
          <w:sz w:val="24"/>
          <w:lang w:val="pl-PL"/>
        </w:rPr>
        <w:t xml:space="preserve"> </w:t>
      </w:r>
      <w:r>
        <w:rPr>
          <w:rFonts w:ascii="Times New Roman"/>
          <w:b w:val="false"/>
          <w:i w:val="false"/>
          <w:color w:val="000000"/>
          <w:sz w:val="24"/>
          <w:lang w:val="pl-PL"/>
        </w:rPr>
        <w:t>tworzenie i udostępnianie narzędzi dobrowolnej współpracy i wymiany informacji o cyberzagrożeniach i incydentach;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zapewnienie obsługi linii telefonicznej lub serwisu internetowego prowadzących działalność w zakresie zgłaszania i analizy przypadków dystrybucji, rozpowszechniania lub przesyłania pornografii dziecięcej za pośrednictwem technologii informacyjno-komunikacyjnych, o których mowa w </w:t>
      </w:r>
      <w:r>
        <w:rPr>
          <w:rFonts w:ascii="Times New Roman"/>
          <w:b w:val="false"/>
          <w:i w:val="false"/>
          <w:color w:val="1b1b1b"/>
          <w:sz w:val="24"/>
          <w:lang w:val="pl-PL"/>
        </w:rPr>
        <w:t>dyrektywie</w:t>
      </w:r>
      <w:r>
        <w:rPr>
          <w:rFonts w:ascii="Times New Roman"/>
          <w:b w:val="false"/>
          <w:i w:val="false"/>
          <w:color w:val="000000"/>
          <w:sz w:val="24"/>
          <w:lang w:val="pl-PL"/>
        </w:rPr>
        <w:t xml:space="preserve"> Parlamentu Europejskiego i Rady 2011/92/UE z dnia 13 grudnia 2011 r. w sprawie zwalczania niegodziwego traktowania w celach seksualnych i wykorzystywania seksualnego dzieci oraz pornografii dziecięcej, zastępującej </w:t>
      </w:r>
      <w:r>
        <w:rPr>
          <w:rFonts w:ascii="Times New Roman"/>
          <w:b w:val="false"/>
          <w:i w:val="false"/>
          <w:color w:val="1b1b1b"/>
          <w:sz w:val="24"/>
          <w:lang w:val="pl-PL"/>
        </w:rPr>
        <w:t>decyzję</w:t>
      </w:r>
      <w:r>
        <w:rPr>
          <w:rFonts w:ascii="Times New Roman"/>
          <w:b w:val="false"/>
          <w:i w:val="false"/>
          <w:color w:val="000000"/>
          <w:sz w:val="24"/>
          <w:lang w:val="pl-PL"/>
        </w:rPr>
        <w:t xml:space="preserve"> ramową Rady 2004/68/WSiSW (Dz. Urz. UE L 335 z 17.12.2011, str. 1);</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monitorowanie występowania smishingu oraz tworzenie wzorca wiadomości wyczerpującej znamiona smishingu, o którym mowa w </w:t>
      </w:r>
      <w:r>
        <w:rPr>
          <w:rFonts w:ascii="Times New Roman"/>
          <w:b w:val="false"/>
          <w:i w:val="false"/>
          <w:color w:val="1b1b1b"/>
          <w:sz w:val="24"/>
          <w:lang w:val="pl-PL"/>
        </w:rPr>
        <w:t>art. 4</w:t>
      </w:r>
      <w:r>
        <w:rPr>
          <w:rFonts w:ascii="Times New Roman"/>
          <w:b w:val="false"/>
          <w:i w:val="false"/>
          <w:color w:val="000000"/>
          <w:sz w:val="24"/>
          <w:lang w:val="pl-PL"/>
        </w:rPr>
        <w:t xml:space="preserve"> ustawy z dnia 28 lipca 2023 r. o zwalczaniu nadużyć w komunikacji elektronicznej (Dz. U. z 2024 r. poz. 1803);</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prowadzenie i udostępnianie na swojej stronie internetowej wykazu nazw oraz ich skrótów zastrzeżonych dla podmiotów publicznych jako nadpis wiadomości pochodzącej od podmiotu publicznego oraz wariantów tych nazw i skrótów, mogących wprowadzać odbiorcę w błąd co do pochodzenia wiadomości od podmiotu publicznego, o którym mowa w </w:t>
      </w:r>
      <w:r>
        <w:rPr>
          <w:rFonts w:ascii="Times New Roman"/>
          <w:b w:val="false"/>
          <w:i w:val="false"/>
          <w:color w:val="1b1b1b"/>
          <w:sz w:val="24"/>
          <w:lang w:val="pl-PL"/>
        </w:rPr>
        <w:t>art. 10 ust. 1</w:t>
      </w:r>
      <w:r>
        <w:rPr>
          <w:rFonts w:ascii="Times New Roman"/>
          <w:b w:val="false"/>
          <w:i w:val="false"/>
          <w:color w:val="000000"/>
          <w:sz w:val="24"/>
          <w:lang w:val="pl-PL"/>
        </w:rPr>
        <w:t xml:space="preserve"> ustawy z dnia 28 lipca 2023 r. o zwalczaniu nadużyć w komunikacji elektronicznej.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Do zadań CSIRT GOV należy koordynacja obsługi incydentów zgłaszanych przez: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186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sektora finansów publicznych, o których mowa w </w:t>
      </w:r>
      <w:r>
        <w:rPr>
          <w:rFonts w:ascii="Times New Roman"/>
          <w:b w:val="false"/>
          <w:i w:val="false"/>
          <w:color w:val="1b1b1b"/>
          <w:sz w:val="24"/>
          <w:lang w:val="pl-PL"/>
        </w:rPr>
        <w:t>art. 9 pkt 1</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ustawy z dnia 27 sierpnia 2009 r. o finansach publicznych, i urzędy je obsługujące, z wyjątkiem wymienionych w ust. 5 i 6;</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jednostki podległe Prezesowi Rady Ministrów lub przez niego nadzorowane;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Narodowy Bank Polski;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Bank Gospodarstwa Krajowego;</w:t>
      </w:r>
    </w:p>
    <w:p>
      <w:pPr>
        <w:spacing w:before="26" w:after="0"/>
        <w:ind w:left="373"/>
        <w:jc w:val="left"/>
        <w:textAlignment w:val="auto"/>
      </w:pPr>
      <w:r>
        <w:rPr>
          <w:rFonts w:ascii="Times New Roman"/>
          <w:b w:val="false"/>
          <w:i w:val="false"/>
          <w:color w:val="000000"/>
          <w:sz w:val="24"/>
          <w:lang w:val="pl-PL"/>
        </w:rPr>
        <w:t xml:space="preserve">4a) </w:t>
      </w:r>
      <w:r>
        <w:rPr>
          <w:rFonts w:ascii="Times New Roman"/>
          <w:b w:val="false"/>
          <w:i w:val="false"/>
          <w:color w:val="000000"/>
          <w:sz w:val="24"/>
          <w:vertAlign w:val="superscript"/>
          <w:lang w:val="pl-PL"/>
        </w:rPr>
        <w:t>187</w:t>
      </w:r>
      <w:r>
        <w:rPr>
          <w:rFonts w:ascii="Times New Roman"/>
          <w:b w:val="false"/>
          <w:i w:val="false"/>
          <w:color w:val="000000"/>
          <w:sz w:val="24"/>
          <w:lang w:val="pl-PL"/>
        </w:rPr>
        <w:t xml:space="preserve"> </w:t>
      </w:r>
      <w:r>
        <w:rPr>
          <w:rFonts w:ascii="Times New Roman"/>
          <w:b w:val="false"/>
          <w:i w:val="false"/>
          <w:color w:val="000000"/>
          <w:sz w:val="24"/>
          <w:lang w:val="pl-PL"/>
        </w:rPr>
        <w:t>Polską Agencję Żeglugi Powietrznej;</w:t>
      </w:r>
    </w:p>
    <w:p>
      <w:pPr>
        <w:spacing w:before="26" w:after="0"/>
        <w:ind w:left="373"/>
        <w:jc w:val="left"/>
        <w:textAlignment w:val="auto"/>
      </w:pPr>
      <w:r>
        <w:rPr>
          <w:rFonts w:ascii="Times New Roman"/>
          <w:b w:val="false"/>
          <w:i w:val="false"/>
          <w:color w:val="000000"/>
          <w:sz w:val="24"/>
          <w:lang w:val="pl-PL"/>
        </w:rPr>
        <w:t xml:space="preserve">4b) </w:t>
      </w:r>
      <w:r>
        <w:rPr>
          <w:rFonts w:ascii="Times New Roman"/>
          <w:b w:val="false"/>
          <w:i w:val="false"/>
          <w:color w:val="000000"/>
          <w:sz w:val="24"/>
          <w:vertAlign w:val="superscript"/>
          <w:lang w:val="pl-PL"/>
        </w:rPr>
        <w:t>188</w:t>
      </w:r>
      <w:r>
        <w:rPr>
          <w:rFonts w:ascii="Times New Roman"/>
          <w:b w:val="false"/>
          <w:i w:val="false"/>
          <w:color w:val="000000"/>
          <w:sz w:val="24"/>
          <w:lang w:val="pl-PL"/>
        </w:rPr>
        <w:t xml:space="preserve"> </w:t>
      </w:r>
      <w:r>
        <w:rPr>
          <w:rFonts w:ascii="Times New Roman"/>
          <w:b w:val="false"/>
          <w:i w:val="false"/>
          <w:color w:val="000000"/>
          <w:sz w:val="24"/>
          <w:lang w:val="pl-PL"/>
        </w:rPr>
        <w:t>Polską Agencję Prasową;</w:t>
      </w:r>
    </w:p>
    <w:p>
      <w:pPr>
        <w:spacing w:before="26" w:after="0"/>
        <w:ind w:left="373"/>
        <w:jc w:val="left"/>
        <w:textAlignment w:val="auto"/>
      </w:pPr>
      <w:r>
        <w:rPr>
          <w:rFonts w:ascii="Times New Roman"/>
          <w:b w:val="false"/>
          <w:i w:val="false"/>
          <w:color w:val="000000"/>
          <w:sz w:val="24"/>
          <w:lang w:val="pl-PL"/>
        </w:rPr>
        <w:t xml:space="preserve">4c) </w:t>
      </w:r>
      <w:r>
        <w:rPr>
          <w:rFonts w:ascii="Times New Roman"/>
          <w:b w:val="false"/>
          <w:i w:val="false"/>
          <w:color w:val="000000"/>
          <w:sz w:val="24"/>
          <w:vertAlign w:val="superscript"/>
          <w:lang w:val="pl-PL"/>
        </w:rPr>
        <w:t>189</w:t>
      </w:r>
      <w:r>
        <w:rPr>
          <w:rFonts w:ascii="Times New Roman"/>
          <w:b w:val="false"/>
          <w:i w:val="false"/>
          <w:color w:val="000000"/>
          <w:sz w:val="24"/>
          <w:lang w:val="pl-PL"/>
        </w:rPr>
        <w:t xml:space="preserve"> </w:t>
      </w:r>
      <w:r>
        <w:rPr>
          <w:rFonts w:ascii="Times New Roman"/>
          <w:b w:val="false"/>
          <w:i w:val="false"/>
          <w:color w:val="000000"/>
          <w:sz w:val="24"/>
          <w:lang w:val="pl-PL"/>
        </w:rPr>
        <w:t>Państwowe Gospodarstwo Wodne Wody Polskie;</w:t>
      </w:r>
    </w:p>
    <w:p>
      <w:pPr>
        <w:spacing w:before="26" w:after="0"/>
        <w:ind w:left="373"/>
        <w:jc w:val="left"/>
        <w:textAlignment w:val="auto"/>
      </w:pPr>
      <w:r>
        <w:rPr>
          <w:rFonts w:ascii="Times New Roman"/>
          <w:b w:val="false"/>
          <w:i w:val="false"/>
          <w:color w:val="000000"/>
          <w:sz w:val="24"/>
          <w:lang w:val="pl-PL"/>
        </w:rPr>
        <w:t xml:space="preserve">4d) </w:t>
      </w:r>
      <w:r>
        <w:rPr>
          <w:rFonts w:ascii="Times New Roman"/>
          <w:b w:val="false"/>
          <w:i w:val="false"/>
          <w:color w:val="000000"/>
          <w:sz w:val="24"/>
          <w:vertAlign w:val="superscript"/>
          <w:lang w:val="pl-PL"/>
        </w:rPr>
        <w:t>190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Polski Fundusz Rozwoju i inne instytucje rozwoju, o których mowa w </w:t>
      </w:r>
      <w:r>
        <w:rPr>
          <w:rFonts w:ascii="Times New Roman"/>
          <w:b w:val="false"/>
          <w:i w:val="false"/>
          <w:color w:val="1b1b1b"/>
          <w:sz w:val="24"/>
          <w:lang w:val="pl-PL"/>
        </w:rPr>
        <w:t>art. 2 ust. 1 pkt 3-6</w:t>
      </w:r>
      <w:r>
        <w:rPr>
          <w:rFonts w:ascii="Times New Roman"/>
          <w:b w:val="false"/>
          <w:i w:val="false"/>
          <w:color w:val="000000"/>
          <w:sz w:val="24"/>
          <w:lang w:val="pl-PL"/>
        </w:rPr>
        <w:t xml:space="preserve"> ustawy z dnia 4 lipca 2019 r. o systemie instytucji rozwoju (Dz. U. z 2026 r. poz. 9);</w:t>
      </w:r>
    </w:p>
    <w:p>
      <w:pPr>
        <w:spacing w:before="26" w:after="0"/>
        <w:ind w:left="373"/>
        <w:jc w:val="left"/>
        <w:textAlignment w:val="auto"/>
      </w:pPr>
      <w:r>
        <w:rPr>
          <w:rFonts w:ascii="Times New Roman"/>
          <w:b w:val="false"/>
          <w:i w:val="false"/>
          <w:color w:val="000000"/>
          <w:sz w:val="24"/>
          <w:lang w:val="pl-PL"/>
        </w:rPr>
        <w:t xml:space="preserve">4e) </w:t>
      </w:r>
      <w:r>
        <w:rPr>
          <w:rFonts w:ascii="Times New Roman"/>
          <w:b w:val="false"/>
          <w:i w:val="false"/>
          <w:color w:val="000000"/>
          <w:sz w:val="24"/>
          <w:vertAlign w:val="superscript"/>
          <w:lang w:val="pl-PL"/>
        </w:rPr>
        <w:t>191</w:t>
      </w:r>
      <w:r>
        <w:rPr>
          <w:rFonts w:ascii="Times New Roman"/>
          <w:b w:val="false"/>
          <w:i w:val="false"/>
          <w:color w:val="000000"/>
          <w:sz w:val="24"/>
          <w:lang w:val="pl-PL"/>
        </w:rPr>
        <w:t xml:space="preserve"> </w:t>
      </w:r>
      <w:r>
        <w:rPr>
          <w:rFonts w:ascii="Times New Roman"/>
          <w:b w:val="false"/>
          <w:i w:val="false"/>
          <w:color w:val="000000"/>
          <w:sz w:val="24"/>
          <w:lang w:val="pl-PL"/>
        </w:rPr>
        <w:t>Urząd Komisji Nadzoru Finansowego;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192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inne niż wymienione w </w:t>
      </w:r>
      <w:r>
        <w:rPr>
          <w:rFonts w:ascii="Times New Roman"/>
          <w:b w:val="false"/>
          <w:i w:val="false"/>
          <w:color w:val="1b1b1b"/>
          <w:sz w:val="24"/>
          <w:lang w:val="pl-PL"/>
        </w:rPr>
        <w:t>pkt 1-4</w:t>
      </w:r>
      <w:r>
        <w:rPr>
          <w:rFonts w:ascii="Times New Roman"/>
          <w:b w:val="false"/>
          <w:i w:val="false"/>
          <w:color w:val="000000"/>
          <w:sz w:val="24"/>
          <w:lang w:val="pl-PL"/>
        </w:rPr>
        <w:t xml:space="preserve"> oraz </w:t>
      </w:r>
      <w:r>
        <w:rPr>
          <w:rFonts w:ascii="Times New Roman"/>
          <w:b w:val="false"/>
          <w:i w:val="false"/>
          <w:color w:val="1b1b1b"/>
          <w:sz w:val="24"/>
          <w:lang w:val="pl-PL"/>
        </w:rPr>
        <w:t>ust. 5</w:t>
      </w:r>
      <w:r>
        <w:rPr>
          <w:rFonts w:ascii="Times New Roman"/>
          <w:b w:val="false"/>
          <w:i w:val="false"/>
          <w:color w:val="000000"/>
          <w:sz w:val="24"/>
          <w:lang w:val="pl-PL"/>
        </w:rPr>
        <w:t xml:space="preserve"> podmioty, których systemy teleinformatyczne lub sieci teleinformatyczne objęte są wykazem, o którym mowa w </w:t>
      </w:r>
      <w:r>
        <w:rPr>
          <w:rFonts w:ascii="Times New Roman"/>
          <w:b w:val="false"/>
          <w:i w:val="false"/>
          <w:color w:val="1b1b1b"/>
          <w:sz w:val="24"/>
          <w:lang w:val="pl-PL"/>
        </w:rPr>
        <w:t>art. 6r ust. 1</w:t>
      </w:r>
      <w:r>
        <w:rPr>
          <w:rFonts w:ascii="Times New Roman"/>
          <w:b w:val="false"/>
          <w:i w:val="false"/>
          <w:color w:val="000000"/>
          <w:sz w:val="24"/>
          <w:lang w:val="pl-PL"/>
        </w:rPr>
        <w:t xml:space="preserve"> ustawy z dnia 26 kwietnia 2007 r. o zarządzaniu kryzysowym;</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193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jeżeli incydent dotyczy systemów teleinformatycznych lub sieci teleinformatycznych objętych wykazem, o którym mowa w </w:t>
      </w:r>
      <w:r>
        <w:rPr>
          <w:rFonts w:ascii="Times New Roman"/>
          <w:b w:val="false"/>
          <w:i w:val="false"/>
          <w:color w:val="1b1b1b"/>
          <w:sz w:val="24"/>
          <w:lang w:val="pl-PL"/>
        </w:rPr>
        <w:t>art. 6r ust. 1</w:t>
      </w:r>
      <w:r>
        <w:rPr>
          <w:rFonts w:ascii="Times New Roman"/>
          <w:b w:val="false"/>
          <w:i w:val="false"/>
          <w:color w:val="000000"/>
          <w:sz w:val="24"/>
          <w:lang w:val="pl-PL"/>
        </w:rPr>
        <w:t xml:space="preserve"> ustawy z dnia 26 kwietnia 2007 r. o zarządzaniu kryzysowym.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lub CSIRT GOV, który otrzymał zgłoszenie incydentu, a nie jest właściwy do koordynacji jego obsługi, przekazuje niezwłocznie to zgłoszenie do właściwego CSIRT wraz z otrzymanymi informacjami.</w:t>
      </w:r>
    </w:p>
    <w:p>
      <w:pPr>
        <w:spacing w:before="26" w:after="0"/>
        <w:ind w:left="0"/>
        <w:jc w:val="left"/>
        <w:textAlignment w:val="auto"/>
      </w:pPr>
      <w:r>
        <w:rPr>
          <w:rFonts w:ascii="Times New Roman"/>
          <w:b w:val="false"/>
          <w:i w:val="false"/>
          <w:color w:val="000000"/>
          <w:sz w:val="24"/>
          <w:lang w:val="pl-PL"/>
        </w:rPr>
        <w:t xml:space="preserve">8a. </w:t>
      </w:r>
      <w:r>
        <w:rPr>
          <w:rFonts w:ascii="Times New Roman"/>
          <w:b w:val="false"/>
          <w:i w:val="false"/>
          <w:color w:val="000000"/>
          <w:sz w:val="24"/>
          <w:vertAlign w:val="superscript"/>
          <w:lang w:val="pl-PL"/>
        </w:rPr>
        <w:t>194</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może udzielić CSIRT NASK dotacji celowej na zakup, utrzymanie i rozbudowę infrastruktury teleinformatycznej niezbędnej do wykonywania zadań CSIRT NASK.</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Działalność CSIRT NASK jest finansowana w formie dotacji podmiotowej z części budżetu państwa, której dysponentem jest minister właściwy do spraw informatyzacji.</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CSIRT NASK i CSIRT GOV mogą, w drodze porozumienia, powierzyć sobie wzajemnie wykonywanie zadań w stosunku do niektórych rodzajów podmiotów, o których mowa w </w:t>
      </w:r>
      <w:r>
        <w:rPr>
          <w:rFonts w:ascii="Times New Roman"/>
          <w:b w:val="false"/>
          <w:i w:val="false"/>
          <w:color w:val="1b1b1b"/>
          <w:sz w:val="24"/>
          <w:lang w:val="pl-PL"/>
        </w:rPr>
        <w:t>ust. 5-7</w:t>
      </w:r>
      <w:r>
        <w:rPr>
          <w:rFonts w:ascii="Times New Roman"/>
          <w:b w:val="false"/>
          <w:i w:val="false"/>
          <w:color w:val="000000"/>
          <w:sz w:val="24"/>
          <w:lang w:val="pl-PL"/>
        </w:rPr>
        <w:t>. O zawarciu porozumienia CSIRT, który powierzył wykonywanie zadań, informuje podmioty, w stosunku do których nastąpiła zmiana CSIRT.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Komunikat o zawarciu porozumienia, o którym mowa w </w:t>
      </w:r>
      <w:r>
        <w:rPr>
          <w:rFonts w:ascii="Times New Roman"/>
          <w:b w:val="false"/>
          <w:i w:val="false"/>
          <w:color w:val="1b1b1b"/>
          <w:sz w:val="24"/>
          <w:lang w:val="pl-PL"/>
        </w:rPr>
        <w:t>ust. 10</w:t>
      </w:r>
      <w:r>
        <w:rPr>
          <w:rFonts w:ascii="Times New Roman"/>
          <w:b w:val="false"/>
          <w:i w:val="false"/>
          <w:color w:val="000000"/>
          <w:sz w:val="24"/>
          <w:lang w:val="pl-PL"/>
        </w:rPr>
        <w:t>, ogłasza się w dzienniku urzędowym odpowiednio Ministra Obrony Narodowej, Ministra Cyfryzacji lub Agencji Bezpieczeństwa Wewnętrznego. W komunikacie wskazuje się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adresie strony internetowej, na której zostanie zamieszczona treść porozumienia wraz ze stanowiącymi jego integralną treść załącznikami;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terminie, od którego porozumienie będzie obowiązywało.</w:t>
      </w:r>
    </w:p>
    <w:p>
      <w:pPr>
        <w:spacing w:before="26" w:after="0"/>
        <w:ind w:left="0"/>
        <w:jc w:val="left"/>
        <w:textAlignment w:val="auto"/>
      </w:pPr>
      <w:r>
        <w:rPr>
          <w:rFonts w:ascii="Times New Roman"/>
          <w:b w:val="false"/>
          <w:i w:val="false"/>
          <w:color w:val="000000"/>
          <w:sz w:val="24"/>
          <w:lang w:val="pl-PL"/>
        </w:rPr>
        <w:t xml:space="preserve">12. </w:t>
      </w:r>
      <w:r>
        <w:rPr>
          <w:rFonts w:ascii="Times New Roman"/>
          <w:b w:val="false"/>
          <w:i w:val="false"/>
          <w:color w:val="000000"/>
          <w:sz w:val="24"/>
          <w:vertAlign w:val="superscript"/>
          <w:lang w:val="pl-PL"/>
        </w:rPr>
        <w:t>195</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mogą uczestniczyć w procesie wzajemnej oceny, o którym mowa w art. 40a.</w:t>
      </w:r>
    </w:p>
    <w:p>
      <w:pPr>
        <w:spacing w:before="26" w:after="0"/>
        <w:ind w:left="0"/>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196</w:t>
      </w:r>
      <w:r>
        <w:rPr>
          <w:rFonts w:ascii="Times New Roman"/>
          <w:b w:val="false"/>
          <w:i w:val="false"/>
          <w:color w:val="000000"/>
          <w:sz w:val="24"/>
          <w:lang w:val="pl-PL"/>
        </w:rPr>
        <w:t xml:space="preserve"> </w:t>
      </w:r>
      <w:r>
        <w:rPr>
          <w:rFonts w:ascii="Times New Roman"/>
          <w:b w:val="false"/>
          <w:i w:val="false"/>
          <w:color w:val="000000"/>
          <w:sz w:val="24"/>
          <w:lang w:val="pl-PL"/>
        </w:rPr>
        <w:t>Przepisy ust. 2 i 3 stosuje się odpowiednio do zadań realizowanych przez CSIRT NASK lub CSIRT GOV w sektorze bankowości i infrastruktury rynków finansowych, w szczególności w zakresie poważnych incydentów związanych z ICT zgłaszanych przez podmioty kluczowe lub podmioty ważne z tego sektora.</w:t>
      </w:r>
    </w:p>
    <w:p>
      <w:pPr>
        <w:spacing w:before="26" w:after="0"/>
        <w:ind w:left="0"/>
        <w:jc w:val="left"/>
        <w:textAlignment w:val="auto"/>
      </w:pPr>
      <w:r>
        <w:rPr>
          <w:rFonts w:ascii="Times New Roman"/>
          <w:b w:val="false"/>
          <w:i w:val="false"/>
          <w:color w:val="000000"/>
          <w:sz w:val="24"/>
          <w:lang w:val="pl-PL"/>
        </w:rPr>
        <w:t xml:space="preserve">14. </w:t>
      </w:r>
      <w:r>
        <w:rPr>
          <w:rFonts w:ascii="Times New Roman"/>
          <w:b w:val="false"/>
          <w:i w:val="false"/>
          <w:color w:val="000000"/>
          <w:sz w:val="24"/>
          <w:vertAlign w:val="superscript"/>
          <w:lang w:val="pl-PL"/>
        </w:rPr>
        <w:t>197</w:t>
      </w:r>
      <w:r>
        <w:rPr>
          <w:rFonts w:ascii="Times New Roman"/>
          <w:b w:val="false"/>
          <w:i w:val="false"/>
          <w:color w:val="000000"/>
          <w:sz w:val="24"/>
          <w:lang w:val="pl-PL"/>
        </w:rPr>
        <w:t xml:space="preserve"> </w:t>
      </w:r>
      <w:r>
        <w:rPr>
          <w:rFonts w:ascii="Times New Roman"/>
          <w:b w:val="false"/>
          <w:i w:val="false"/>
          <w:color w:val="000000"/>
          <w:sz w:val="24"/>
          <w:lang w:val="pl-PL"/>
        </w:rPr>
        <w:t>CSIRT NASK lub CSIRT GOV może również realizować swoje zadania w odniesieniu do podmiotów finansowych niebędących podmiotami kluczowymi lub podmiotami ważnymi, gdy nie stanowi to dla tego zespołu nieproporcjonalnego czy nadmiernego obciążenia, z uwzględnieniem priorytetowego traktowania poważnych incydentów związanych z ICT zgłaszanych przez podmioty finansowe będące podmiotami kluczowymi lub podmiotami ważnymi, oraz z uwzględnieniem odpowiedniego stosowania przepisów ust. 2 i 3 do realizacji zadań przez CSIRT NASK lub CSIRT GOV.</w:t>
      </w:r>
    </w:p>
    <w:p>
      <w:pPr>
        <w:spacing w:before="26" w:after="0"/>
        <w:ind w:left="0"/>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198</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NASK lub CSIRT GOV współpracują i wymieniają informacje z właściwym organem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 gdy jest to niezbędne dla realizacji zadań CSIRT NASK lub CSIRT GOV bądź realizacji zadań tego właściwego organu.</w:t>
      </w:r>
    </w:p>
    <w:p>
      <w:pPr>
        <w:spacing w:before="26" w:after="0"/>
        <w:ind w:left="0"/>
        <w:jc w:val="left"/>
        <w:textAlignment w:val="auto"/>
      </w:pPr>
      <w:r>
        <w:rPr>
          <w:rFonts w:ascii="Times New Roman"/>
          <w:b w:val="false"/>
          <w:i w:val="false"/>
          <w:color w:val="000000"/>
          <w:sz w:val="24"/>
          <w:lang w:val="pl-PL"/>
        </w:rPr>
        <w:t xml:space="preserve">16. </w:t>
      </w:r>
      <w:r>
        <w:rPr>
          <w:rFonts w:ascii="Times New Roman"/>
          <w:b w:val="false"/>
          <w:i w:val="false"/>
          <w:color w:val="000000"/>
          <w:sz w:val="24"/>
          <w:vertAlign w:val="superscript"/>
          <w:lang w:val="pl-PL"/>
        </w:rPr>
        <w:t>199</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informują organ właściwy do spraw podmiotów krytycznych o poważnych incydentach, cyberzagrożeniach i potencjalnych zdarzeniach dla cyberbezpieczeństwa zgłoszonych przez podmiot krytyczny.</w:t>
      </w:r>
    </w:p>
    <w:p>
      <w:pPr>
        <w:spacing w:before="80" w:after="0"/>
        <w:ind w:left="0"/>
        <w:jc w:val="left"/>
        <w:textAlignment w:val="auto"/>
      </w:pPr>
      <w:r>
        <w:rPr>
          <w:rFonts w:ascii="Times New Roman"/>
          <w:b/>
          <w:i w:val="false"/>
          <w:color w:val="000000"/>
          <w:sz w:val="24"/>
          <w:lang w:val="pl-PL"/>
        </w:rPr>
        <w:t xml:space="preserve"> Art. 26a. </w:t>
      </w:r>
      <w:r>
        <w:rPr>
          <w:rFonts w:ascii="Times New Roman"/>
          <w:b/>
          <w:i w:val="false"/>
          <w:color w:val="000000"/>
          <w:sz w:val="24"/>
          <w:vertAlign w:val="superscript"/>
          <w:lang w:val="pl-PL"/>
        </w:rPr>
        <w:t>200</w:t>
      </w:r>
      <w:r>
        <w:rPr>
          <w:rFonts w:ascii="Times New Roman"/>
          <w:b/>
          <w:i w:val="false"/>
          <w:color w:val="000000"/>
          <w:sz w:val="24"/>
          <w:lang w:val="pl-PL"/>
        </w:rPr>
        <w:t xml:space="preserve"> </w:t>
      </w:r>
      <w:r>
        <w:rPr>
          <w:rFonts w:ascii="Times New Roman"/>
          <w:b/>
          <w:i w:val="false"/>
          <w:color w:val="000000"/>
          <w:sz w:val="24"/>
          <w:lang w:val="pl-PL"/>
        </w:rPr>
        <w:t>[Zgłoszenie podatności]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NASK pełni funkcję koordynatora na potrzeby skoordynowanego ujawniania podatności.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fizyczna, osoba prawna albo jednostka organizacyjna nieposiadająca osobowości prawnej może zgłosić wykrytą podatność do CSIRT NASK.</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Zgłoszenie podatności jest przekazywane w postaci elektronicznej, a w przypadku braku możliwości przekazania jej w postaci elektronicznej - przy użyciu innych dostępnych środków komunikacji.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CSIRT NASK zapewnia formularz do dokonywania zgłoszeń podatności, zapewniający możliwość zachowania anonimowości przez osobę fizyczną lub osobę prawną lub jednostkę organizacyjną nieposiadającą osobowości prawnej zgłaszającą podatność. CSIRT NASK może przetwarzać przekazane dane osobowe w celu realizacji zadań, o których mowa w ust. 5.</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ramach zadania, o którym mowa w ust. 1, CSIRT NASK: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przyjmuje informacje o wykrytych podatnościach;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identyfikuje dostawców produktów ICT lub usług ICT, na które podatność może mieć wpływ i informuje ich o wykrytej podatności;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razie konieczności koordynuje komunikację między osobą fizyczną lub osobą prawną lub jednostką organizacyjną nieposiadającą osobowości prawnej zgłaszającą podatność a producentem lub dostawcą potencjalnie podatnych produktów ICT lub usług ICT, w zakresie weryfikacji zgłoszenia i terminu ujawniania podatności.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CSIRT NASK współpracuje z CSIRT innych państw członkowskich Unii Europejskiej przy podatnościach, które mają wpływ na podmioty, w pozostałych państwach członkowskich Unii Europejskiej.</w:t>
      </w:r>
    </w:p>
    <w:p>
      <w:pPr>
        <w:spacing w:before="80" w:after="0"/>
        <w:ind w:left="0"/>
        <w:jc w:val="left"/>
        <w:textAlignment w:val="auto"/>
      </w:pPr>
      <w:r>
        <w:rPr>
          <w:rFonts w:ascii="Times New Roman"/>
          <w:b/>
          <w:i w:val="false"/>
          <w:color w:val="000000"/>
          <w:sz w:val="24"/>
          <w:lang w:val="pl-PL"/>
        </w:rPr>
        <w:t xml:space="preserve"> Art. 26b. </w:t>
      </w:r>
      <w:r>
        <w:rPr>
          <w:rFonts w:ascii="Times New Roman"/>
          <w:b/>
          <w:i w:val="false"/>
          <w:color w:val="000000"/>
          <w:sz w:val="24"/>
          <w:vertAlign w:val="superscript"/>
          <w:lang w:val="pl-PL"/>
        </w:rPr>
        <w:t>201</w:t>
      </w:r>
      <w:r>
        <w:rPr>
          <w:rFonts w:ascii="Times New Roman"/>
          <w:b/>
          <w:i w:val="false"/>
          <w:color w:val="000000"/>
          <w:sz w:val="24"/>
          <w:lang w:val="pl-PL"/>
        </w:rPr>
        <w:t xml:space="preserve"> </w:t>
      </w:r>
      <w:r>
        <w:rPr>
          <w:rFonts w:ascii="Times New Roman"/>
          <w:b/>
          <w:i w:val="false"/>
          <w:color w:val="000000"/>
          <w:sz w:val="24"/>
          <w:lang w:val="pl-PL"/>
        </w:rPr>
        <w:t>[Udostępnienie CSIRT NASK listy przedsiębiorców realizujących zadania na rzecz Sił Zbrojnych]</w:t>
      </w:r>
    </w:p>
    <w:p>
      <w:pPr>
        <w:spacing w:after="0"/>
        <w:ind w:left="0"/>
        <w:jc w:val="left"/>
        <w:textAlignment w:val="auto"/>
      </w:pPr>
      <w:r>
        <w:rPr>
          <w:rFonts w:ascii="Times New Roman"/>
          <w:b w:val="false"/>
          <w:i w:val="false"/>
          <w:color w:val="000000"/>
          <w:sz w:val="24"/>
          <w:lang w:val="pl-PL"/>
        </w:rPr>
        <w:t xml:space="preserve">Minister Obrony Narodowej udostępnia CSIRT NASK, na jego wniosek, w terminie 14 dni od doręczenia wniosku, listę przedsiębiorców, wobec których wydano decyzję administracyjną, o której mowa w </w:t>
      </w:r>
      <w:r>
        <w:rPr>
          <w:rFonts w:ascii="Times New Roman"/>
          <w:b w:val="false"/>
          <w:i w:val="false"/>
          <w:color w:val="1b1b1b"/>
          <w:sz w:val="24"/>
          <w:lang w:val="pl-PL"/>
        </w:rPr>
        <w:t>art. 648 ust. 2</w:t>
      </w:r>
      <w:r>
        <w:rPr>
          <w:rFonts w:ascii="Times New Roman"/>
          <w:b w:val="false"/>
          <w:i w:val="false"/>
          <w:color w:val="000000"/>
          <w:sz w:val="24"/>
          <w:lang w:val="pl-PL"/>
        </w:rPr>
        <w:t xml:space="preserve"> ustawy z dnia 11 marca 2022 r. o obronie Ojczyzny (Dz. U. z 2025 r. poz. 825, 1014 i 1080 oraz z 2026 r. poz. 26).</w:t>
      </w:r>
    </w:p>
    <w:p>
      <w:pPr>
        <w:spacing w:before="80" w:after="0"/>
        <w:ind w:left="0"/>
        <w:jc w:val="left"/>
        <w:textAlignment w:val="auto"/>
      </w:pPr>
      <w:r>
        <w:rPr>
          <w:rFonts w:ascii="Times New Roman"/>
          <w:b/>
          <w:i w:val="false"/>
          <w:color w:val="000000"/>
          <w:sz w:val="24"/>
          <w:lang w:val="pl-PL"/>
        </w:rPr>
        <w:t xml:space="preserve"> Art. 26c. </w:t>
      </w:r>
      <w:r>
        <w:rPr>
          <w:rFonts w:ascii="Times New Roman"/>
          <w:b/>
          <w:i w:val="false"/>
          <w:color w:val="000000"/>
          <w:sz w:val="24"/>
          <w:vertAlign w:val="superscript"/>
          <w:lang w:val="pl-PL"/>
        </w:rPr>
        <w:t>202</w:t>
      </w:r>
      <w:r>
        <w:rPr>
          <w:rFonts w:ascii="Times New Roman"/>
          <w:b/>
          <w:i w:val="false"/>
          <w:color w:val="000000"/>
          <w:sz w:val="24"/>
          <w:lang w:val="pl-PL"/>
        </w:rPr>
        <w:t xml:space="preserve"> </w:t>
      </w:r>
      <w:r>
        <w:rPr>
          <w:rFonts w:ascii="Times New Roman"/>
          <w:b/>
          <w:i w:val="false"/>
          <w:color w:val="000000"/>
          <w:sz w:val="24"/>
          <w:lang w:val="pl-PL"/>
        </w:rPr>
        <w:t>[Usługa online umożliwiająca sprawdzenie nieuprawnionego ujawnienia danych osobowych w internecie]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NASK, w celu minimalizacji ryzyka powstania szkód materialnych i niematerialnych związanych z nieuprawnionym upublicznieniem danych osobowych w sieci Internet, tworzy i udostępnia usługę online umożliwiającą sprawdzenie przez osobę fizyczną, czy jej dane osobowe nie zostały ujawnione w sieci Internet w sposób nieuprawniony, na skutek incydentu lub cyberzagrożenia.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Dla realizacji usługi online, o której mowa w ust. 1, CSIRT NASK może gromadzić i przetwarzać następujące dane osobowe: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urodzenia;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adres zamieszkania;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płeć;</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imię i nazwisko nadane podczas urodzenia;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miejsce urodzenia;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identyfikator użytkownika w Węźle Krajowym nadawany tymczasowo podczas uwierzytelniania;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login, który uległ nieuprawnionemu upublicznieniu;</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adres poczty elektronicznej;</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numer telefonu;</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before="80" w:after="0"/>
        <w:ind w:left="0"/>
        <w:jc w:val="left"/>
        <w:textAlignment w:val="auto"/>
      </w:pPr>
      <w:r>
        <w:rPr>
          <w:rFonts w:ascii="Times New Roman"/>
          <w:b/>
          <w:i w:val="false"/>
          <w:color w:val="000000"/>
          <w:sz w:val="24"/>
          <w:lang w:val="pl-PL"/>
        </w:rPr>
        <w:t xml:space="preserve"> Art. 26d. </w:t>
      </w:r>
      <w:r>
        <w:rPr>
          <w:rFonts w:ascii="Times New Roman"/>
          <w:b/>
          <w:i w:val="false"/>
          <w:color w:val="000000"/>
          <w:sz w:val="24"/>
          <w:vertAlign w:val="superscript"/>
          <w:lang w:val="pl-PL"/>
        </w:rPr>
        <w:t>203</w:t>
      </w:r>
      <w:r>
        <w:rPr>
          <w:rFonts w:ascii="Times New Roman"/>
          <w:b/>
          <w:i w:val="false"/>
          <w:color w:val="000000"/>
          <w:sz w:val="24"/>
          <w:lang w:val="pl-PL"/>
        </w:rPr>
        <w:t xml:space="preserve"> </w:t>
      </w:r>
      <w:r>
        <w:rPr>
          <w:rFonts w:ascii="Times New Roman"/>
          <w:b/>
          <w:i w:val="false"/>
          <w:color w:val="000000"/>
          <w:sz w:val="24"/>
          <w:lang w:val="pl-PL"/>
        </w:rPr>
        <w:t>[Wymóg niekaralności za przestępstwa przeciwko ochronie informacji u osoby realizującej zadania CSIRT]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rozpoczęciem realizacji zadań CSIRT MON, CSIRT NASK lub CSIRT GOV, osoba, która ma te zadania realizować, przedstawia właściwemu CSIRT informację o osobie z Krajowego Rejestru Karnego stwierdzającą niekaralność za przestępstwa przeciwko ochronie informacji. Kierownik właściwego CSIRT dopuszcza osobę do realizacji zadań, o których mowa w art. 26 ust. 3, po otrzymaniu informacji, o której mowa w zdaniu pierwszym.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lub CSIRT GOV wzywa osobę realizującą jego zadania, o których mowa w art. 26 ust. 3, do ponownego przedstawienia informacji o osobie z Krajowego Rejestru Karnego stwierdzającą niekaralność za przestępstwa przeciwko ochronie informacji, jeżeli poweźmie uzasadnione podejrzenie, że osoba ta została skazana za przestępstwo przeciwko ochronie informacji.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Wymagania, o których mowa w ust. 1 i 2, uznaje się za spełnione, jeśli osoba realizująca zadania CSIRT MON, CSIRT NASK lub CSIRT GOV posiada ważne poświadczenie bezpieczeństwa upoważniające do dostępu do informacji niejawnych o klauzuli "poufne" lub wyższej.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Osoba skazana prawomocnym wyrokiem sądu za przestępstwa przeciwko ochronie informacji nie może realizować zadań CSIRT MON, CSIRT NASK lub CSIRT GOV, o których mowa w art. 26 ust. 3.</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[Właściwość CSIRT GOV i CSIRT MON]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GOV jest właściwy w zakresie incydentów związanych ze zdarzeniami o charakterze terrorystycznym, o których mowa w </w:t>
      </w:r>
      <w:r>
        <w:rPr>
          <w:rFonts w:ascii="Times New Roman"/>
          <w:b w:val="false"/>
          <w:i w:val="false"/>
          <w:color w:val="1b1b1b"/>
          <w:sz w:val="24"/>
          <w:lang w:val="pl-PL"/>
        </w:rPr>
        <w:t>art. 2 pkt 7</w:t>
      </w:r>
      <w:r>
        <w:rPr>
          <w:rFonts w:ascii="Times New Roman"/>
          <w:b w:val="false"/>
          <w:i w:val="false"/>
          <w:color w:val="000000"/>
          <w:sz w:val="24"/>
          <w:lang w:val="pl-PL"/>
        </w:rPr>
        <w:t xml:space="preserve"> ustawy z dnia 10 czerwca 2016 r. o działaniach antyterrorystycznych (Dz. U. z 2025 r. poz. 194).</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jest właściwy w zakresie incydentów związanych ze zdarzeniami o charakterze terrorystycznym, o których mowa w </w:t>
      </w:r>
      <w:r>
        <w:rPr>
          <w:rFonts w:ascii="Times New Roman"/>
          <w:b w:val="false"/>
          <w:i w:val="false"/>
          <w:color w:val="1b1b1b"/>
          <w:sz w:val="24"/>
          <w:lang w:val="pl-PL"/>
        </w:rPr>
        <w:t>art. 5 ust. 1 pkt 2a</w:t>
      </w:r>
      <w:r>
        <w:rPr>
          <w:rFonts w:ascii="Times New Roman"/>
          <w:b w:val="false"/>
          <w:i w:val="false"/>
          <w:color w:val="000000"/>
          <w:sz w:val="24"/>
          <w:lang w:val="pl-PL"/>
        </w:rPr>
        <w:t xml:space="preserve"> ustawy z dnia 9 czerwca 2006 r. o Służbie Kontrwywiadu Wojskowego oraz Służbie Wywiadu Wojskowego (Dz. U. z 2024 r. poz. 1405 oraz z 2025 r. poz. 179 i 1366).</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że incydent, którego obsługa jest koordynowana przez właściwy CSIRT MON, CSIRT NASK lub CSIRT GOV, jest związany ze zdarzeniami,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 koordynację obsługi incydentu przejmuje właściwy CSIRT MON lub CSIRT GOV.</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[Informowanie innych państw członkowskich UE o zgłoszeniu incydentu poważnego]</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204</w:t>
      </w:r>
      <w:r>
        <w:rPr>
          <w:rFonts w:ascii="Times New Roman"/>
          <w:b w:val="false"/>
          <w:i w:val="false"/>
          <w:color w:val="000000"/>
          <w:sz w:val="24"/>
          <w:lang w:val="pl-PL"/>
        </w:rPr>
        <w:t xml:space="preserve"> </w:t>
      </w:r>
      <w:r>
        <w:rPr>
          <w:rFonts w:ascii="Times New Roman"/>
          <w:b w:val="false"/>
          <w:i w:val="false"/>
          <w:color w:val="000000"/>
          <w:sz w:val="24"/>
          <w:lang w:val="pl-PL"/>
        </w:rPr>
        <w:t>Właściwy CSIRT MON, CSIRT NASK lub CSIRT GOV informuje na podstawie zgłoszenia incydentu poważnego dokonanego przez podmiot kluczowy lub podmiot ważny inne państwa członkowskie Unii Europejskiej, których dotyczy ten incydent, za pośrednictwem Pojedynczego Punktu Kontaktowego.</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205</w:t>
      </w:r>
      <w:r>
        <w:rPr>
          <w:rFonts w:ascii="Times New Roman"/>
          <w:b w:val="false"/>
          <w:i w:val="false"/>
          <w:color w:val="000000"/>
          <w:sz w:val="24"/>
          <w:lang w:val="pl-PL"/>
        </w:rPr>
        <w:t xml:space="preserve"> </w:t>
      </w:r>
      <w:r>
        <w:rPr>
          <w:rFonts w:ascii="Times New Roman"/>
          <w:b w:val="false"/>
          <w:i w:val="false"/>
          <w:color w:val="000000"/>
          <w:sz w:val="24"/>
          <w:lang w:val="pl-PL"/>
        </w:rPr>
        <w:t>Właściwy CSIRT MON, CSIRT NASK lub CSIRT GOV przekazuje, jeżeli pozwalają na to okoliczności, podmiotowi kluczowemu lub podmiotowi ważnemu zgłaszającemu incydent poważny informacje dotyczące działań podjętych po zgłoszeniu tego incydentu, które mogłyby pomóc w jego obsłudze.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Właściwy CSIRT MON, CSIRT NASK lub CSIRT GOV może wystąpić z wnioskiem do Pojedynczego Punktu Kontaktowego o przekazanie zgłoszenia incydentu poważnego, o którym mowa w </w:t>
      </w:r>
      <w:r>
        <w:rPr>
          <w:rFonts w:ascii="Times New Roman"/>
          <w:b w:val="false"/>
          <w:i w:val="false"/>
          <w:color w:val="1b1b1b"/>
          <w:sz w:val="24"/>
          <w:lang w:val="pl-PL"/>
        </w:rPr>
        <w:t>ust. 1</w:t>
      </w:r>
      <w:r>
        <w:rPr>
          <w:rFonts w:ascii="Times New Roman"/>
          <w:b w:val="false"/>
          <w:i w:val="false"/>
          <w:color w:val="000000"/>
          <w:sz w:val="24"/>
          <w:lang w:val="pl-PL"/>
        </w:rPr>
        <w:t>, pojedynczym punktom kontaktowym w innych państwach członkowskich Unii Europejskiej, których dotyczy ten incydent.</w:t>
      </w:r>
    </w:p>
    <w:p>
      <w:pPr>
        <w:spacing w:before="80" w:after="0"/>
        <w:ind w:left="0"/>
        <w:jc w:val="left"/>
        <w:textAlignment w:val="auto"/>
      </w:pPr>
      <w:r>
        <w:rPr>
          <w:rFonts w:ascii="Times New Roman"/>
          <w:b/>
          <w:i w:val="false"/>
          <w:color w:val="000000"/>
          <w:sz w:val="24"/>
          <w:lang w:val="pl-PL"/>
        </w:rPr>
        <w:t xml:space="preserve"> Art. 29. </w:t>
      </w:r>
      <w:r>
        <w:rPr>
          <w:rFonts w:ascii="Times New Roman"/>
          <w:b/>
          <w:i w:val="false"/>
          <w:color w:val="000000"/>
          <w:sz w:val="24"/>
          <w:vertAlign w:val="superscript"/>
          <w:lang w:val="pl-PL"/>
        </w:rPr>
        <w:t>206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[Zgłaszanie incydentów do CSIRT NASK]</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207</w:t>
      </w:r>
      <w:r>
        <w:rPr>
          <w:rFonts w:ascii="Times New Roman"/>
          <w:b w:val="false"/>
          <w:i w:val="false"/>
          <w:color w:val="000000"/>
          <w:sz w:val="24"/>
          <w:lang w:val="pl-PL"/>
        </w:rPr>
        <w:t xml:space="preserve"> </w:t>
      </w:r>
      <w:r>
        <w:rPr>
          <w:rFonts w:ascii="Times New Roman"/>
          <w:b w:val="false"/>
          <w:i w:val="false"/>
          <w:color w:val="000000"/>
          <w:sz w:val="24"/>
          <w:lang w:val="pl-PL"/>
        </w:rPr>
        <w:t>Podmioty inne niż podmioty kluczowe lub podmioty ważne, w tym osoby fizyczne, mogą zgłosić incydent do CSIRT NASK. W zgłoszeniu należy podać: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podmiotu lub systemu informacyjnego, w którym wystąpił incydent;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opis incydentu;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inne istotne informacje.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208</w:t>
      </w:r>
      <w:r>
        <w:rPr>
          <w:rFonts w:ascii="Times New Roman"/>
          <w:b w:val="false"/>
          <w:i w:val="false"/>
          <w:color w:val="000000"/>
          <w:sz w:val="24"/>
          <w:lang w:val="pl-PL"/>
        </w:rPr>
        <w:t xml:space="preserve"> </w:t>
      </w:r>
      <w:r>
        <w:rPr>
          <w:rFonts w:ascii="Times New Roman"/>
          <w:b w:val="false"/>
          <w:i w:val="false"/>
          <w:color w:val="000000"/>
          <w:sz w:val="24"/>
          <w:lang w:val="pl-PL"/>
        </w:rPr>
        <w:t>Zgłoszenia incydentów od podmiotów kluczowych lub podmiotów ważnych są traktowane priorytetowo względem zgłoszeń, o których mowa w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Zgłoszenia, o których mowa w </w:t>
      </w:r>
      <w:r>
        <w:rPr>
          <w:rFonts w:ascii="Times New Roman"/>
          <w:b w:val="false"/>
          <w:i w:val="false"/>
          <w:color w:val="1b1b1b"/>
          <w:sz w:val="24"/>
          <w:lang w:val="pl-PL"/>
        </w:rPr>
        <w:t>ust. 1</w:t>
      </w:r>
      <w:r>
        <w:rPr>
          <w:rFonts w:ascii="Times New Roman"/>
          <w:b w:val="false"/>
          <w:i w:val="false"/>
          <w:color w:val="000000"/>
          <w:sz w:val="24"/>
          <w:lang w:val="pl-PL"/>
        </w:rPr>
        <w:t>, mogą zostać rozpatrzone, gdy nie stanowi to nieproporcjonalnego czy nadmiernego obciążenia dla CSIRT NASK.</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o którym mowa w </w:t>
      </w:r>
      <w:r>
        <w:rPr>
          <w:rFonts w:ascii="Times New Roman"/>
          <w:b w:val="false"/>
          <w:i w:val="false"/>
          <w:color w:val="1b1b1b"/>
          <w:sz w:val="24"/>
          <w:lang w:val="pl-PL"/>
        </w:rPr>
        <w:t>ust. 1</w:t>
      </w:r>
      <w:r>
        <w:rPr>
          <w:rFonts w:ascii="Times New Roman"/>
          <w:b w:val="false"/>
          <w:i w:val="false"/>
          <w:color w:val="000000"/>
          <w:sz w:val="24"/>
          <w:lang w:val="pl-PL"/>
        </w:rPr>
        <w:t>, oznacza w zgłoszeniu informacje stanowiące tajemnice prawnie chronione, w tym stanowiące tajemnicę przedsiębiorstwa.</w:t>
      </w:r>
    </w:p>
    <w:p>
      <w:pPr>
        <w:spacing w:before="80" w:after="0"/>
        <w:ind w:left="0"/>
        <w:jc w:val="left"/>
        <w:textAlignment w:val="auto"/>
      </w:pPr>
      <w:r>
        <w:rPr>
          <w:rFonts w:ascii="Times New Roman"/>
          <w:b/>
          <w:i w:val="false"/>
          <w:color w:val="000000"/>
          <w:sz w:val="24"/>
          <w:lang w:val="pl-PL"/>
        </w:rPr>
        <w:t xml:space="preserve"> Art. 31. </w:t>
      </w:r>
      <w:r>
        <w:rPr>
          <w:rFonts w:ascii="Times New Roman"/>
          <w:b/>
          <w:i w:val="false"/>
          <w:color w:val="000000"/>
          <w:sz w:val="24"/>
          <w:vertAlign w:val="superscript"/>
          <w:lang w:val="pl-PL"/>
        </w:rPr>
        <w:t>209</w:t>
      </w:r>
      <w:r>
        <w:rPr>
          <w:rFonts w:ascii="Times New Roman"/>
          <w:b/>
          <w:i w:val="false"/>
          <w:color w:val="000000"/>
          <w:sz w:val="24"/>
          <w:lang w:val="pl-PL"/>
        </w:rPr>
        <w:t xml:space="preserve"> </w:t>
      </w:r>
      <w:r>
        <w:rPr>
          <w:rFonts w:ascii="Times New Roman"/>
          <w:b/>
          <w:i w:val="false"/>
          <w:color w:val="000000"/>
          <w:sz w:val="24"/>
          <w:lang w:val="pl-PL"/>
        </w:rPr>
        <w:t>[Określenie sposobu dokonywania zgłoszeń incydentów do CSIRT MON, CSIRT NASK, CSIRT GOV i CSIRT sektorowego]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oraz CSIRT sektorowe określą sposób przekazywania informacji i zgłoszeń, o których mowa w art. 11 i art. 13, w przypadku braku możliwości przekazania ich za pomocą systemu teleinformatycznego, o którym mowa w art. 46 ust. 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NASK określi sposób dokonywania zgłoszeń, o których mowa w art. 30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Komunikat zawierający informacje o sposobie dokonywania zgłoszeń, o których mowa odpowiednio w art. 11, art. 13 i art. 30 ust. 1, CSIRT MON, CSIRT NASK, CSIRT GOV oraz CSIRT sektorowe publikują odpowiednio na stronie podmiotowej Biuletynu Informacji Publicznej Ministra Obrony Narodowej, Naukowej i Akademickiej Sieci Komputerowej - Państwowego Instytutu Badawczego, Agencji Bezpieczeństwa Wewnętrznego lub organu właściwego do spraw cyberbezpieczeństwa.</w:t>
      </w:r>
    </w:p>
    <w:p>
      <w:pPr>
        <w:spacing w:before="80" w:after="0"/>
        <w:ind w:left="0"/>
        <w:jc w:val="left"/>
        <w:textAlignment w:val="auto"/>
      </w:pPr>
      <w:r>
        <w:rPr>
          <w:rFonts w:ascii="Times New Roman"/>
          <w:b/>
          <w:i w:val="false"/>
          <w:color w:val="000000"/>
          <w:sz w:val="24"/>
          <w:lang w:val="pl-PL"/>
        </w:rPr>
        <w:t xml:space="preserve"> Art. 32. </w:t>
      </w:r>
      <w:r>
        <w:rPr>
          <w:rFonts w:ascii="Times New Roman"/>
          <w:b/>
          <w:i w:val="false"/>
          <w:color w:val="000000"/>
          <w:sz w:val="24"/>
          <w:vertAlign w:val="superscript"/>
          <w:lang w:val="pl-PL"/>
        </w:rPr>
        <w:t>210</w:t>
      </w:r>
      <w:r>
        <w:rPr>
          <w:rFonts w:ascii="Times New Roman"/>
          <w:b/>
          <w:i w:val="false"/>
          <w:color w:val="000000"/>
          <w:sz w:val="24"/>
          <w:lang w:val="pl-PL"/>
        </w:rPr>
        <w:t xml:space="preserve"> </w:t>
      </w:r>
      <w:r>
        <w:rPr>
          <w:rFonts w:ascii="Times New Roman"/>
          <w:b/>
          <w:i w:val="false"/>
          <w:color w:val="000000"/>
          <w:sz w:val="24"/>
          <w:lang w:val="pl-PL"/>
        </w:rPr>
        <w:t>[Analiza zagrożeń oraz koordynacja obsługi incydentu poważnego i incydentu krytycznego]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mogą wykonywać niezbędne działania techniczne związane z analizą zagrożeń, koordynacją obsługi incydentu poważnego i incydentu krytycznego.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lub CSIRT GOV mogą wystąpić do organu właściwego do spraw cyberbezpieczeństwa z wnioskiem o wezwanie podmiotu kluczowego lub podmiotu ważnego, aby w wyznaczonym terminie usunął podatności, które doprowadziły lub mogłyby doprowadzić do incydentu poważnego lub krytycznego.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na wniosek CSIRT MON, CSIRT NASK lub CSIRT GOV udostępnia informacje techniczne związane z incydentem, które będą niezbędne do przeprowadzenia analizy lub koordynacji obsługi incydentu.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lub CSIRT sektorowe na podstawie informacji, o których mowa w art. 13 ust. 1 pkt 3 i 5, uzyskanych od podmiotu kluczowego lub podmiotu ważnego, mogą przekazywać im informacje o podatnościach i sposobie usunięcia podatności w wykorzystywanych technologiach.</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[Badanie produktu ICT lub usługi ICT; rekomendacje dotyczące stosowania produktów ICT lub usług ICT]</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211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lub CSIRT GOV może przeprowadzić badanie produktu ICT lub usługi ICT w celu identyfikacji podatności, której wykorzystanie może zagrozić w szczególności integralności, poufności, rozliczalności, autentyczności lub dostępności przetwarzanych danych, które może mieć wpływ na bezpieczeństwo publiczne lub istotny interes bezpieczeństwa państwa.</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212</w:t>
      </w:r>
      <w:r>
        <w:rPr>
          <w:rFonts w:ascii="Times New Roman"/>
          <w:b w:val="false"/>
          <w:i w:val="false"/>
          <w:color w:val="000000"/>
          <w:sz w:val="24"/>
          <w:lang w:val="pl-PL"/>
        </w:rPr>
        <w:t xml:space="preserve"> </w:t>
      </w:r>
      <w:r>
        <w:rPr>
          <w:rFonts w:ascii="Times New Roman"/>
          <w:b w:val="false"/>
          <w:i w:val="false"/>
          <w:color w:val="000000"/>
          <w:sz w:val="24"/>
          <w:lang w:val="pl-PL"/>
        </w:rPr>
        <w:t>Badanie, o którym mowa w ust. 1, przeprowadza się także na pisemny wniosek Pełnomocnika lub przewodniczącego Kolegium, skierowany do organu prowadzącego lub nadzorującego właściwy CSIRT.</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213</w:t>
      </w:r>
      <w:r>
        <w:rPr>
          <w:rFonts w:ascii="Times New Roman"/>
          <w:b w:val="false"/>
          <w:i w:val="false"/>
          <w:color w:val="000000"/>
          <w:sz w:val="24"/>
          <w:lang w:val="pl-PL"/>
        </w:rPr>
        <w:t xml:space="preserve"> </w:t>
      </w:r>
      <w:r>
        <w:rPr>
          <w:rFonts w:ascii="Times New Roman"/>
          <w:b w:val="false"/>
          <w:i w:val="false"/>
          <w:color w:val="000000"/>
          <w:sz w:val="24"/>
          <w:lang w:val="pl-PL"/>
        </w:rPr>
        <w:t>Badanie, o którym mowa w ust. 1, przeprowadza się w środowisku testowym i nie może ono wpłynąć na ciągłość świadczenia usług przez podmioty kluczowe lub podmioty ważne.</w:t>
      </w:r>
    </w:p>
    <w:p>
      <w:pPr>
        <w:spacing w:before="26" w:after="0"/>
        <w:ind w:left="0"/>
        <w:jc w:val="left"/>
        <w:textAlignment w:val="auto"/>
      </w:pPr>
      <w:r>
        <w:rPr>
          <w:rFonts w:ascii="Times New Roman"/>
          <w:b w:val="false"/>
          <w:i w:val="false"/>
          <w:color w:val="000000"/>
          <w:sz w:val="24"/>
          <w:lang w:val="pl-PL"/>
        </w:rPr>
        <w:t xml:space="preserve">1c. </w:t>
      </w:r>
      <w:r>
        <w:rPr>
          <w:rFonts w:ascii="Times New Roman"/>
          <w:b w:val="false"/>
          <w:i w:val="false"/>
          <w:color w:val="000000"/>
          <w:sz w:val="24"/>
          <w:vertAlign w:val="superscript"/>
          <w:lang w:val="pl-PL"/>
        </w:rPr>
        <w:t>214</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prowadząc badanie, o którym mowa w ust. 1, są uprawnieni do stosowania technik mających na celu: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obserwację i analizę pracy produktu ICT lub usługi ICT;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uzyskanie dostępu do przetwarzanych danych;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odtworzenie postaci źródłowej produktu ICT lub usługi ICT;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zwielokrotnienie (powielenie) kodu programowego oraz tłumaczenie (translacja) jego formy;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odtworzenie algorytmu przetwarzania danych;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identyfikację realizowanych funkcji;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usunięcie lub przełamanie zabezpieczeń przed badaniem;</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identyfikację podatności lub identyfikację nieudokumentowanych funkcji realizowanych przez produkt ICT lub usługę ICT.</w:t>
      </w:r>
    </w:p>
    <w:p>
      <w:pPr>
        <w:spacing w:before="26" w:after="0"/>
        <w:ind w:left="0"/>
        <w:jc w:val="left"/>
        <w:textAlignment w:val="auto"/>
      </w:pPr>
      <w:r>
        <w:rPr>
          <w:rFonts w:ascii="Times New Roman"/>
          <w:b w:val="false"/>
          <w:i w:val="false"/>
          <w:color w:val="000000"/>
          <w:sz w:val="24"/>
          <w:lang w:val="pl-PL"/>
        </w:rPr>
        <w:t xml:space="preserve">1d. </w:t>
      </w:r>
      <w:r>
        <w:rPr>
          <w:rFonts w:ascii="Times New Roman"/>
          <w:b w:val="false"/>
          <w:i w:val="false"/>
          <w:color w:val="000000"/>
          <w:sz w:val="24"/>
          <w:vertAlign w:val="superscript"/>
          <w:lang w:val="pl-PL"/>
        </w:rPr>
        <w:t>215</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w czasie prowadzenia badania, o którym mowa w ust. 1, nie są związane postanowieniami umów, w szczególności umów licencyjnych, badanych produktów ICT lub usług ICT, które ograniczyłyby możliwość przeprowadzenia tego badania.</w:t>
      </w:r>
    </w:p>
    <w:p>
      <w:pPr>
        <w:spacing w:before="26" w:after="0"/>
        <w:ind w:left="0"/>
        <w:jc w:val="left"/>
        <w:textAlignment w:val="auto"/>
      </w:pPr>
      <w:r>
        <w:rPr>
          <w:rFonts w:ascii="Times New Roman"/>
          <w:b w:val="false"/>
          <w:i w:val="false"/>
          <w:color w:val="000000"/>
          <w:sz w:val="24"/>
          <w:lang w:val="pl-PL"/>
        </w:rPr>
        <w:t xml:space="preserve">1e. </w:t>
      </w:r>
      <w:r>
        <w:rPr>
          <w:rFonts w:ascii="Times New Roman"/>
          <w:b w:val="false"/>
          <w:i w:val="false"/>
          <w:color w:val="000000"/>
          <w:sz w:val="24"/>
          <w:vertAlign w:val="superscript"/>
          <w:lang w:val="pl-PL"/>
        </w:rPr>
        <w:t>216</w:t>
      </w:r>
      <w:r>
        <w:rPr>
          <w:rFonts w:ascii="Times New Roman"/>
          <w:b w:val="false"/>
          <w:i w:val="false"/>
          <w:color w:val="000000"/>
          <w:sz w:val="24"/>
          <w:lang w:val="pl-PL"/>
        </w:rPr>
        <w:t xml:space="preserve"> </w:t>
      </w:r>
      <w:r>
        <w:rPr>
          <w:rFonts w:ascii="Times New Roman"/>
          <w:b w:val="false"/>
          <w:i w:val="false"/>
          <w:color w:val="000000"/>
          <w:sz w:val="24"/>
          <w:lang w:val="pl-PL"/>
        </w:rPr>
        <w:t>Badanie, o którym mowa w ust.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narusza autorskich praw osobistych oraz majątkowych, oraz</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wymaga zgody licencjodawcy lub dysponenta produktu ICT lub usługi ICT.</w:t>
      </w:r>
    </w:p>
    <w:p>
      <w:pPr>
        <w:spacing w:before="26" w:after="0"/>
        <w:ind w:left="0"/>
        <w:jc w:val="left"/>
        <w:textAlignment w:val="auto"/>
      </w:pPr>
      <w:r>
        <w:rPr>
          <w:rFonts w:ascii="Times New Roman"/>
          <w:b w:val="false"/>
          <w:i w:val="false"/>
          <w:color w:val="000000"/>
          <w:sz w:val="24"/>
          <w:lang w:val="pl-PL"/>
        </w:rPr>
        <w:t xml:space="preserve">1f. </w:t>
      </w:r>
      <w:r>
        <w:rPr>
          <w:rFonts w:ascii="Times New Roman"/>
          <w:b w:val="false"/>
          <w:i w:val="false"/>
          <w:color w:val="000000"/>
          <w:sz w:val="24"/>
          <w:vertAlign w:val="superscript"/>
          <w:lang w:val="pl-PL"/>
        </w:rPr>
        <w:t>217</w:t>
      </w:r>
      <w:r>
        <w:rPr>
          <w:rFonts w:ascii="Times New Roman"/>
          <w:b w:val="false"/>
          <w:i w:val="false"/>
          <w:color w:val="000000"/>
          <w:sz w:val="24"/>
          <w:lang w:val="pl-PL"/>
        </w:rPr>
        <w:t xml:space="preserve"> </w:t>
      </w:r>
      <w:r>
        <w:rPr>
          <w:rFonts w:ascii="Times New Roman"/>
          <w:b w:val="false"/>
          <w:i w:val="false"/>
          <w:color w:val="000000"/>
          <w:sz w:val="24"/>
          <w:lang w:val="pl-PL"/>
        </w:rPr>
        <w:t>Postanowienia umów sprzeczne z ust. 1-1e są nieważne.</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218</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albo CSIRT GOV, podejmując badanie produktu ICT, usługi ICT lub procesu ICT, informuje pozostałe CSIRT poziomu krajowego o fakcie podjęcia badań oraz o produkcie ICT lub usłudze ICT, których badanie dotyczy.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CSIRT NASK lub CSIRT GOV w przypadku identyfikacji podatności,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składa wniosek w sprawie rekomendacji,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219</w:t>
      </w:r>
      <w:r>
        <w:rPr>
          <w:rFonts w:ascii="Times New Roman"/>
          <w:b w:val="false"/>
          <w:i w:val="false"/>
          <w:color w:val="000000"/>
          <w:sz w:val="24"/>
          <w:lang w:val="pl-PL"/>
        </w:rPr>
        <w:t xml:space="preserve"> </w:t>
      </w:r>
      <w:r>
        <w:rPr>
          <w:rFonts w:ascii="Times New Roman"/>
          <w:b w:val="false"/>
          <w:i w:val="false"/>
          <w:color w:val="000000"/>
          <w:sz w:val="24"/>
          <w:lang w:val="pl-PL"/>
        </w:rPr>
        <w:t>Pełnomocnik po uzyskaniu opinii Kolegium wydaje, zmienia lub odwołuje rekomendacje dotyczące stosowania produktów ICT lub usług ICT, w szczególności w zakresie wpływu na bezpieczeństwo publiczne lub istotny interes bezpieczeństwa państwa.</w:t>
      </w:r>
    </w:p>
    <w:p>
      <w:pPr>
        <w:spacing w:before="26" w:after="0"/>
        <w:ind w:left="0"/>
        <w:jc w:val="left"/>
        <w:textAlignment w:val="auto"/>
      </w:pPr>
      <w:r>
        <w:rPr>
          <w:rFonts w:ascii="Times New Roman"/>
          <w:b w:val="false"/>
          <w:i w:val="false"/>
          <w:color w:val="000000"/>
          <w:sz w:val="24"/>
          <w:lang w:val="pl-PL"/>
        </w:rPr>
        <w:t xml:space="preserve">4a. </w:t>
      </w:r>
      <w:r>
        <w:rPr>
          <w:rFonts w:ascii="Times New Roman"/>
          <w:b w:val="false"/>
          <w:i w:val="false"/>
          <w:color w:val="000000"/>
          <w:sz w:val="24"/>
          <w:vertAlign w:val="superscript"/>
          <w:lang w:val="pl-PL"/>
        </w:rPr>
        <w:t>220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uzyskania przez Pełnomocnika informacji o cyberzagrożeniu, która uprawdopodobni możliwość wystąpienia incydentu krytycznego, Pełnomocnik może wydać rekomendacje, o których mowa w </w:t>
      </w:r>
      <w:r>
        <w:rPr>
          <w:rFonts w:ascii="Times New Roman"/>
          <w:b w:val="false"/>
          <w:i w:val="false"/>
          <w:color w:val="1b1b1b"/>
          <w:sz w:val="24"/>
          <w:lang w:val="pl-PL"/>
        </w:rPr>
        <w:t>ust. 4</w:t>
      </w:r>
      <w:r>
        <w:rPr>
          <w:rFonts w:ascii="Times New Roman"/>
          <w:b w:val="false"/>
          <w:i w:val="false"/>
          <w:color w:val="000000"/>
          <w:sz w:val="24"/>
          <w:lang w:val="pl-PL"/>
        </w:rPr>
        <w:t>, z urzędu.</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Przed wydaniem rekomendacji w trybie ust. 4a, Pełnomocnik przeprowadza konsultację z CSIRT MON, CSIRT NASK lub CSIRT GOV.</w:t>
      </w:r>
    </w:p>
    <w:p>
      <w:pPr>
        <w:spacing w:before="26" w:after="0"/>
        <w:ind w:left="0"/>
        <w:jc w:val="left"/>
        <w:textAlignment w:val="auto"/>
      </w:pPr>
      <w:r>
        <w:rPr>
          <w:rFonts w:ascii="Times New Roman"/>
          <w:b w:val="false"/>
          <w:i w:val="false"/>
          <w:color w:val="000000"/>
          <w:sz w:val="24"/>
          <w:lang w:val="pl-PL"/>
        </w:rPr>
        <w:t xml:space="preserve">4c. </w:t>
      </w:r>
      <w:r>
        <w:rPr>
          <w:rFonts w:ascii="Times New Roman"/>
          <w:b w:val="false"/>
          <w:i w:val="false"/>
          <w:color w:val="000000"/>
          <w:sz w:val="24"/>
          <w:vertAlign w:val="superscript"/>
          <w:lang w:val="pl-PL"/>
        </w:rPr>
        <w:t>221</w:t>
      </w:r>
      <w:r>
        <w:rPr>
          <w:rFonts w:ascii="Times New Roman"/>
          <w:b w:val="false"/>
          <w:i w:val="false"/>
          <w:color w:val="000000"/>
          <w:sz w:val="24"/>
          <w:lang w:val="pl-PL"/>
        </w:rPr>
        <w:t xml:space="preserve"> </w:t>
      </w:r>
      <w:r>
        <w:rPr>
          <w:rFonts w:ascii="Times New Roman"/>
          <w:b w:val="false"/>
          <w:i w:val="false"/>
          <w:color w:val="000000"/>
          <w:sz w:val="24"/>
          <w:lang w:val="pl-PL"/>
        </w:rPr>
        <w:t>Rekomendacje, o których mowa w ust. 4, a także informację o ich zmianie lub odwołaniu, Pełnomocnik publikuje na swojej stronie podmiotowej Biuletynu Informacji Publicznej.</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222</w:t>
      </w:r>
      <w:r>
        <w:rPr>
          <w:rFonts w:ascii="Times New Roman"/>
          <w:b w:val="false"/>
          <w:i w:val="false"/>
          <w:color w:val="000000"/>
          <w:sz w:val="24"/>
          <w:lang w:val="pl-PL"/>
        </w:rPr>
        <w:t xml:space="preserve"> </w:t>
      </w:r>
      <w:r>
        <w:rPr>
          <w:rFonts w:ascii="Times New Roman"/>
          <w:b w:val="false"/>
          <w:i w:val="false"/>
          <w:color w:val="000000"/>
          <w:sz w:val="24"/>
          <w:lang w:val="pl-PL"/>
        </w:rPr>
        <w:t>Podmiot krajowego systemu cyberbezpieczeństwa może wnieść do Pełnomocnika zastrzeżenia do rekomendacji dotyczących stosowania produktów ICT lub usług ICT, z uwagi na ich negatywny wpływ na świadczoną usługę lub realizowane zadanie publiczne, niepóźniej niż w terminie 14 dni od dnia publikacji rekomendacji na stronie podmiotowej Biuletynu Informacji Publicznej Pełnomocnika.</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223</w:t>
      </w:r>
      <w:r>
        <w:rPr>
          <w:rFonts w:ascii="Times New Roman"/>
          <w:b w:val="false"/>
          <w:i w:val="false"/>
          <w:color w:val="000000"/>
          <w:sz w:val="24"/>
          <w:lang w:val="pl-PL"/>
        </w:rPr>
        <w:t xml:space="preserve"> </w:t>
      </w:r>
      <w:r>
        <w:rPr>
          <w:rFonts w:ascii="Times New Roman"/>
          <w:b w:val="false"/>
          <w:i w:val="false"/>
          <w:color w:val="000000"/>
          <w:sz w:val="24"/>
          <w:lang w:val="pl-PL"/>
        </w:rPr>
        <w:t>Pełnomocnik odnosi się do zastrzeżeń otrzymanych w trybie ust. 5 niezwłocznie, jednak nie później niż w terminie 14 dni od dnia ich otrzymania, i podtrzymuje rekomendacje dotyczące stosowania produktów ICT lub usług ICT albo wydaje zmienione rekomendacje.</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224</w:t>
      </w:r>
      <w:r>
        <w:rPr>
          <w:rFonts w:ascii="Times New Roman"/>
          <w:b w:val="false"/>
          <w:i w:val="false"/>
          <w:color w:val="000000"/>
          <w:sz w:val="24"/>
          <w:lang w:val="pl-PL"/>
        </w:rPr>
        <w:t xml:space="preserve"> </w:t>
      </w:r>
      <w:r>
        <w:rPr>
          <w:rFonts w:ascii="Times New Roman"/>
          <w:b w:val="false"/>
          <w:i w:val="false"/>
          <w:color w:val="000000"/>
          <w:sz w:val="24"/>
          <w:lang w:val="pl-PL"/>
        </w:rPr>
        <w:t>Podmiot krajowego systemu cyberbezpieczeństwa informuje Pełnomocnika, na jego wniosek, o sposobie i zakresie uwzględnienia rekomendacji dotyczących stosowania produktów ICT lub usług ICT.</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225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Nieuwzględnienie rekomendacji dotyczących stosowania produktów ICT lub usług ICT stanowi podstawę do wystąpienia przez Pełnomocnika do organu sprawującego nadzór nad podmiotem, o którym mowa w </w:t>
      </w:r>
      <w:r>
        <w:rPr>
          <w:rFonts w:ascii="Times New Roman"/>
          <w:b w:val="false"/>
          <w:i w:val="false"/>
          <w:color w:val="1b1b1b"/>
          <w:sz w:val="24"/>
          <w:lang w:val="pl-PL"/>
        </w:rPr>
        <w:t>ust. 7</w:t>
      </w:r>
      <w:r>
        <w:rPr>
          <w:rFonts w:ascii="Times New Roman"/>
          <w:b w:val="false"/>
          <w:i w:val="false"/>
          <w:color w:val="000000"/>
          <w:sz w:val="24"/>
          <w:lang w:val="pl-PL"/>
        </w:rPr>
        <w:t>, z informacją o ich nieuwzględnieniu.</w:t>
      </w:r>
    </w:p>
    <w:p>
      <w:pPr>
        <w:spacing w:before="26" w:after="0"/>
        <w:ind w:left="0"/>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226</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lub CSIRT GOV przeprowadzający badanie mogą zwrócić się do producenta badanego produktu ICT lub dostawcy badanej usługi ICT o przekazanie dokumentacji. Przepisy art. 53c stosuje się odpowiednio. O zwróceniu się do producenta, jak również o nieprzekazaniu przez producenta dokumentacji w terminie, CSIRT przeprowadzający badanie informuje ministra właściwego do spraw informatyzacji.</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[Współpraca z organami ścigania i wymiaru sprawiedliwości, służbami specjalnymi oraz innymi organami]</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227</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oraz dostawcy usług zarządzanych w zakresie cyberbezpieczeństwa współpracują z organami ścigania i wymiaru sprawiedliwości oraz służbami specjalnymi przy realizacji ich ustawowych zadań.</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228</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koordynując obsługę incydentu, który doprowadził do naruszenia ochrony danych osobowych, współpracują z organem właściwym do spraw ochrony danych osobowych.</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229</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oraz dostawcy usług zarządzanych z zakresu cyberbezpieczeństwa współpracują z Prezesem Urzędu Lotnictwa Cywilnego, Prezesem Urzędu Komunikacji Elektronicznej oraz Komisją Nadzoru Finansowego.</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230</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współpracują z Narodowym Bankiem Polskim w zakresie wymiany informacji o incydentach, podatnościach i cyberzagrożeniach, które mają wpływ na systemy płatności.</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[Przekazywanie informacji o incydencie krytycznym lub incydencie w cyberbezpieczeństwie na dużą skalę między CSIRT; informowanie RCB]</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231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przekazują sobie wzajemnie informacje o incydencie krytycznym lub incydencie w cyberbezpieczeństwie na dużą skalę oraz informują o nim Rządowe Centrum Bezpieczeństwa, właściwy CSIRT sektorowy oraz ministra właściwego do spraw zagranicznych.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której mowa w </w:t>
      </w:r>
      <w:r>
        <w:rPr>
          <w:rFonts w:ascii="Times New Roman"/>
          <w:b w:val="false"/>
          <w:i w:val="false"/>
          <w:color w:val="1b1b1b"/>
          <w:sz w:val="24"/>
          <w:lang w:val="pl-PL"/>
        </w:rPr>
        <w:t>ust. 1</w:t>
      </w:r>
      <w:r>
        <w:rPr>
          <w:rFonts w:ascii="Times New Roman"/>
          <w:b w:val="false"/>
          <w:i w:val="false"/>
          <w:color w:val="000000"/>
          <w:sz w:val="24"/>
          <w:lang w:val="pl-PL"/>
        </w:rPr>
        <w:t>,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wstępną analizę potencjalnych skutków incydentu, z uwzględnieniem w szczególności:</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vertAlign w:val="superscript"/>
          <w:lang w:val="pl-PL"/>
        </w:rPr>
        <w:t>232</w:t>
      </w:r>
      <w:r>
        <w:rPr>
          <w:rFonts w:ascii="Times New Roman"/>
          <w:b w:val="false"/>
          <w:i w:val="false"/>
          <w:color w:val="000000"/>
          <w:sz w:val="24"/>
          <w:lang w:val="pl-PL"/>
        </w:rPr>
        <w:t xml:space="preserve"> </w:t>
      </w:r>
      <w:r>
        <w:rPr>
          <w:rFonts w:ascii="Times New Roman"/>
          <w:b w:val="false"/>
          <w:i w:val="false"/>
          <w:color w:val="000000"/>
          <w:sz w:val="24"/>
          <w:lang w:val="pl-PL"/>
        </w:rPr>
        <w:t>liczby użytkowników, których dotyczy incydent,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momentu wystąpienia i wykrycia incydentu oraz czasu jego trwania,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zasięgu geograficznego obszaru, którego dotyczy incydent;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rekomendację w sprawie zwołania Rządowego Zespołu Zarządzania Kryzysowego, o którym mowa w </w:t>
      </w:r>
      <w:r>
        <w:rPr>
          <w:rFonts w:ascii="Times New Roman"/>
          <w:b w:val="false"/>
          <w:i w:val="false"/>
          <w:color w:val="1b1b1b"/>
          <w:sz w:val="24"/>
          <w:lang w:val="pl-PL"/>
        </w:rPr>
        <w:t>art. 8 ust. 1</w:t>
      </w:r>
      <w:r>
        <w:rPr>
          <w:rFonts w:ascii="Times New Roman"/>
          <w:b w:val="false"/>
          <w:i w:val="false"/>
          <w:color w:val="000000"/>
          <w:sz w:val="24"/>
          <w:lang w:val="pl-PL"/>
        </w:rPr>
        <w:t xml:space="preserve"> ustawy z dnia 26 kwietnia 2007 r. o zarządzaniu kryzysowym.</w:t>
      </w:r>
    </w:p>
    <w:p>
      <w:pPr>
        <w:spacing w:before="26" w:after="0"/>
        <w:ind w:left="0"/>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233</w:t>
      </w:r>
      <w:r>
        <w:rPr>
          <w:rFonts w:ascii="Times New Roman"/>
          <w:b w:val="false"/>
          <w:i w:val="false"/>
          <w:color w:val="000000"/>
          <w:sz w:val="24"/>
          <w:lang w:val="pl-PL"/>
        </w:rPr>
        <w:t xml:space="preserve"> </w:t>
      </w:r>
      <w:r>
        <w:rPr>
          <w:rFonts w:ascii="Times New Roman"/>
          <w:b w:val="false"/>
          <w:i w:val="false"/>
          <w:color w:val="000000"/>
          <w:sz w:val="24"/>
          <w:lang w:val="pl-PL"/>
        </w:rPr>
        <w:t>Informacja, o której mowa w ust. 1, może zawierać dane osobowe tylko wtedy, gdy jest to niezbędne dla ochrony podmiotów krajowego systemu cyberbezpieczeństwa przed incydentami.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której mowa w </w:t>
      </w:r>
      <w:r>
        <w:rPr>
          <w:rFonts w:ascii="Times New Roman"/>
          <w:b w:val="false"/>
          <w:i w:val="false"/>
          <w:color w:val="1b1b1b"/>
          <w:sz w:val="24"/>
          <w:lang w:val="pl-PL"/>
        </w:rPr>
        <w:t>ust. 1</w:t>
      </w:r>
      <w:r>
        <w:rPr>
          <w:rFonts w:ascii="Times New Roman"/>
          <w:b w:val="false"/>
          <w:i w:val="false"/>
          <w:color w:val="000000"/>
          <w:sz w:val="24"/>
          <w:lang w:val="pl-PL"/>
        </w:rPr>
        <w:t>, może zawierać wniosek o zwołanie Zespołu do spraw Incydentów Krytycznych, zwanego dalej "Zespołem".</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234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uzyskania informacji o cyberzagrożeniach CSIRT MON, CSIRT NASK i CSIRT GOV mogą informować się wzajemnie oraz informować o tych zagrożeniach Rządowe Centrum Bezpieczeństwa. Przepisy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235</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GOV mogą publikować na stronie podmiotowej Biuletynu Informacji Publicznej odpowiednio Ministra Obrony Narodowej, Naukowej i Akademickiej Sieci Komputerowej - Państwowego Instytutu Badawczego lub Agencji Bezpieczeństwa Wewnętrznego informacje, w niezbędnym zakresie, o podatnościach, incydentach krytycznych oraz o cyberzagrożeniach, o ile przekazywanie informacji przyczyni się do zwiększenia bezpieczeństwa systemów informacyjnych użytkowanych przez obywateli i przedsiębiorców lub zapewnienia bezpiecznego korzystania z tych systemów. Publikowane informacje nie mogą naruszać przepisów o ochronie informacji niejawnych oraz innych tajemnic prawnie chronionych ani przepisów o ochronie danych osobowych.</w:t>
      </w:r>
    </w:p>
    <w:p>
      <w:pPr>
        <w:spacing w:before="80" w:after="0"/>
        <w:ind w:left="0"/>
        <w:jc w:val="left"/>
        <w:textAlignment w:val="auto"/>
      </w:pPr>
      <w:r>
        <w:rPr>
          <w:rFonts w:ascii="Times New Roman"/>
          <w:b/>
          <w:i w:val="false"/>
          <w:color w:val="000000"/>
          <w:sz w:val="24"/>
          <w:lang w:val="pl-PL"/>
        </w:rPr>
        <w:t xml:space="preserve"> Art. 35a. </w:t>
      </w:r>
      <w:r>
        <w:rPr>
          <w:rFonts w:ascii="Times New Roman"/>
          <w:b/>
          <w:i w:val="false"/>
          <w:color w:val="000000"/>
          <w:sz w:val="24"/>
          <w:vertAlign w:val="superscript"/>
          <w:lang w:val="pl-PL"/>
        </w:rPr>
        <w:t>236</w:t>
      </w:r>
      <w:r>
        <w:rPr>
          <w:rFonts w:ascii="Times New Roman"/>
          <w:b/>
          <w:i w:val="false"/>
          <w:color w:val="000000"/>
          <w:sz w:val="24"/>
          <w:lang w:val="pl-PL"/>
        </w:rPr>
        <w:t xml:space="preserve"> </w:t>
      </w:r>
      <w:r>
        <w:rPr>
          <w:rFonts w:ascii="Times New Roman"/>
          <w:b/>
          <w:i w:val="false"/>
          <w:color w:val="000000"/>
          <w:sz w:val="24"/>
          <w:lang w:val="pl-PL"/>
        </w:rPr>
        <w:t>[Udzielenie przez MON wsparcia CSIRT koordynującemu obsługę incydentu krytycznego]</w:t>
      </w:r>
    </w:p>
    <w:p>
      <w:pPr>
        <w:spacing w:after="0"/>
        <w:ind w:left="0"/>
        <w:jc w:val="left"/>
        <w:textAlignment w:val="auto"/>
      </w:pPr>
      <w:r>
        <w:rPr>
          <w:rFonts w:ascii="Times New Roman"/>
          <w:b w:val="false"/>
          <w:i w:val="false"/>
          <w:color w:val="000000"/>
          <w:sz w:val="24"/>
          <w:lang w:val="pl-PL"/>
        </w:rPr>
        <w:t xml:space="preserve">W przypadku wystąpienia incydentu krytycznego Prezes Rady Ministrów może, na podstawie propozycji Rządowego Zespołu Zarządzania Kryzysowego, o której mowa w </w:t>
      </w:r>
      <w:r>
        <w:rPr>
          <w:rFonts w:ascii="Times New Roman"/>
          <w:b w:val="false"/>
          <w:i w:val="false"/>
          <w:color w:val="1b1b1b"/>
          <w:sz w:val="24"/>
          <w:lang w:val="pl-PL"/>
        </w:rPr>
        <w:t>art. 9 ust. 1 pkt 1</w:t>
      </w:r>
      <w:r>
        <w:rPr>
          <w:rFonts w:ascii="Times New Roman"/>
          <w:b w:val="false"/>
          <w:i w:val="false"/>
          <w:color w:val="000000"/>
          <w:sz w:val="24"/>
          <w:lang w:val="pl-PL"/>
        </w:rPr>
        <w:t xml:space="preserve"> ustawy z dnia 26 kwietnia 2007 r. o zarządzaniu kryzysowym (Dz. U. z 2023 r. poz. 122, z późn. zm.), zobowiązać Ministra Obrony Narodowej do udzielenia wsparcia CSIRT koordynującemu obsługę tego incydentu przez właściwe jednostki organizacyjne podległe Ministrowi Obrony Narodowej lub przez niego nadzorowane.</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[Zespół do spraw Incydentów Krytycznych]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Zespół jest organem pomocniczym w sprawach obsługi incydentów krytycznych zgłoszonych CSIRT MON, CSIRT NASK lub CSIRT GOV i koordynującym działania podejmowane przez CSIRT MON, CSIRT NASK, CSIRT GOV oraz Rządowe Centrum Bezpieczeństwa.</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237</w:t>
      </w:r>
      <w:r>
        <w:rPr>
          <w:rFonts w:ascii="Times New Roman"/>
          <w:b w:val="false"/>
          <w:i w:val="false"/>
          <w:color w:val="000000"/>
          <w:sz w:val="24"/>
          <w:lang w:val="pl-PL"/>
        </w:rPr>
        <w:t xml:space="preserve"> </w:t>
      </w:r>
      <w:r>
        <w:rPr>
          <w:rFonts w:ascii="Times New Roman"/>
          <w:b w:val="false"/>
          <w:i w:val="false"/>
          <w:color w:val="000000"/>
          <w:sz w:val="24"/>
          <w:lang w:val="pl-PL"/>
        </w:rPr>
        <w:t>W skład Zespołu wchodzą przedstawiciele CSIRT MON, CSIRT NASK, Szefa Agencji Bezpieczeństwa Wewnętrznego realizującego zadania w ramach CSIRT GOV, Rządowego Centrum Bezpieczeństwa oraz ministra właściwego do spraw zagranicznych.</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238</w:t>
      </w:r>
      <w:r>
        <w:rPr>
          <w:rFonts w:ascii="Times New Roman"/>
          <w:b w:val="false"/>
          <w:i w:val="false"/>
          <w:color w:val="000000"/>
          <w:sz w:val="24"/>
          <w:lang w:val="pl-PL"/>
        </w:rPr>
        <w:t xml:space="preserve"> </w:t>
      </w:r>
      <w:r>
        <w:rPr>
          <w:rFonts w:ascii="Times New Roman"/>
          <w:b w:val="false"/>
          <w:i w:val="false"/>
          <w:color w:val="000000"/>
          <w:sz w:val="24"/>
          <w:lang w:val="pl-PL"/>
        </w:rPr>
        <w:t>Pełnomocnik przewodniczy pracom Zespołu.</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239</w:t>
      </w:r>
      <w:r>
        <w:rPr>
          <w:rFonts w:ascii="Times New Roman"/>
          <w:b w:val="false"/>
          <w:i w:val="false"/>
          <w:color w:val="000000"/>
          <w:sz w:val="24"/>
          <w:lang w:val="pl-PL"/>
        </w:rPr>
        <w:t xml:space="preserve"> </w:t>
      </w:r>
      <w:r>
        <w:rPr>
          <w:rFonts w:ascii="Times New Roman"/>
          <w:b w:val="false"/>
          <w:i w:val="false"/>
          <w:color w:val="000000"/>
          <w:sz w:val="24"/>
          <w:lang w:val="pl-PL"/>
        </w:rPr>
        <w:t>Obsługę prac Zespołu zapewnia urząd obsługujący Pełnomocnika.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 udziału w pracach Zespołu, z głosem doradczym, członkowie Zespołu mogą zapraszać przedstawicieli organów właściwych do spraw cyberbezpieczeństwa lub jednostek im podległych lub przez nie nadzorowanych, organów ścigania, wymiaru sprawiedliwości lub służb specjalnych.</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240</w:t>
      </w:r>
      <w:r>
        <w:rPr>
          <w:rFonts w:ascii="Times New Roman"/>
          <w:b w:val="false"/>
          <w:i w:val="false"/>
          <w:color w:val="000000"/>
          <w:sz w:val="24"/>
          <w:lang w:val="pl-PL"/>
        </w:rPr>
        <w:t xml:space="preserve"> </w:t>
      </w:r>
      <w:r>
        <w:rPr>
          <w:rFonts w:ascii="Times New Roman"/>
          <w:b w:val="false"/>
          <w:i w:val="false"/>
          <w:color w:val="000000"/>
          <w:sz w:val="24"/>
          <w:lang w:val="pl-PL"/>
        </w:rPr>
        <w:t>W przypadku, o którym mowa w art. 35 ust. 3, albo na wniosek członka Zespołu lub z własnej inicjatywy po uzyskaniu informacji, o której mowa w art. 35 ust. 1, Pełnomocnik zawiadamia niezwłocznie członków Zespołu o terminie i miejscu posiedzenia Zespołu. Udział w posiedzeniu Zespołu może odbywać się za pośrednictwem środków komunikacji elektronicznej.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Zespół na posiedzeniu: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wyznacza jednomyślnie CSIRT koordynujący obsługę incydentu, którego dotyczy informacja, o której mowa w </w:t>
      </w:r>
      <w:r>
        <w:rPr>
          <w:rFonts w:ascii="Times New Roman"/>
          <w:b w:val="false"/>
          <w:i w:val="false"/>
          <w:color w:val="1b1b1b"/>
          <w:sz w:val="24"/>
          <w:lang w:val="pl-PL"/>
        </w:rPr>
        <w:t>art. 35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określa role pozostałych CSIRT oraz Rządowego Centrum Bezpieczeństwa w obsłudze incydentu, którego dotyczy informacja, o której mowa w </w:t>
      </w:r>
      <w:r>
        <w:rPr>
          <w:rFonts w:ascii="Times New Roman"/>
          <w:b w:val="false"/>
          <w:i w:val="false"/>
          <w:color w:val="1b1b1b"/>
          <w:sz w:val="24"/>
          <w:lang w:val="pl-PL"/>
        </w:rPr>
        <w:t>art. 35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określa sposób wymiany informacji technicznych dotyczących incydentu krytycznego obsługiwanego wspólnie przez CSIRT MON, CSIRT NASK lub Szefa Agencji Bezpieczeństwa Wewnętrznego realizującego zadania w ramach CSIRT GOV;</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podejmuje decyzję o wystąpieniu przez dyrektora Rządowego Centrum Bezpieczeństwa z wnioskiem do Prezesa Rady Ministrów w sprawie zwołania Rządowego Zespołu Zarządzania Kryzysowego;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incydentu krytycznego, który może spowodować zagrożenie wystąpienia zdarzenia o charakterze terrorystycznym, dotyczącego systemów teleinformatycznych organów administracji publicznej lub systemów teleinformatycznych wchodzących w skład infrastruktury krytycznej, o którym mowa w art. 15 ust. 2 ustawy z dnia 10 czerwca 2016 r. o działaniach antyterrorystycznych, przygotowuje w zakresie takiego incydentu informacje i wnioski dla ministra właściwego do spraw wewnętrznych i Szefa Agencji Bezpieczeństwa Wewnętrznego.</w:t>
      </w:r>
    </w:p>
    <w:p>
      <w:pPr>
        <w:spacing w:before="89" w:after="0"/>
        <w:ind w:left="0"/>
        <w:jc w:val="center"/>
        <w:textAlignment w:val="auto"/>
      </w:pPr>
      <w:r>
        <w:rPr>
          <w:rFonts w:ascii="Times New Roman"/>
          <w:b/>
          <w:i w:val="false"/>
          <w:color w:val="000000"/>
          <w:sz w:val="24"/>
          <w:lang w:val="pl-PL"/>
        </w:rPr>
        <w:t xml:space="preserve">Rozdział 6a </w:t>
      </w:r>
      <w:r>
        <w:rPr>
          <w:rFonts w:ascii="Times New Roman"/>
          <w:b/>
          <w:i w:val="false"/>
          <w:color w:val="000000"/>
          <w:sz w:val="24"/>
          <w:vertAlign w:val="superscript"/>
          <w:lang w:val="pl-PL"/>
        </w:rPr>
        <w:t>241</w:t>
      </w:r>
    </w:p>
    <w:p>
      <w:pPr>
        <w:spacing w:before="25" w:after="0"/>
        <w:ind w:left="0"/>
        <w:jc w:val="center"/>
        <w:textAlignment w:val="auto"/>
      </w:pPr>
      <w:r>
        <w:rPr>
          <w:rFonts w:ascii="Times New Roman"/>
          <w:b/>
          <w:i w:val="false"/>
          <w:color w:val="000000"/>
          <w:sz w:val="24"/>
          <w:lang w:val="pl-PL"/>
        </w:rPr>
        <w:t>Ocena bezpieczeństwa</w:t>
      </w:r>
    </w:p>
    <w:p>
      <w:pPr>
        <w:spacing w:before="80" w:after="0"/>
        <w:ind w:left="0"/>
        <w:jc w:val="left"/>
        <w:textAlignment w:val="auto"/>
      </w:pPr>
      <w:r>
        <w:rPr>
          <w:rFonts w:ascii="Times New Roman"/>
          <w:b/>
          <w:i w:val="false"/>
          <w:color w:val="000000"/>
          <w:sz w:val="24"/>
          <w:lang w:val="pl-PL"/>
        </w:rPr>
        <w:t xml:space="preserve"> Art. 36a.</w:t>
      </w:r>
      <w:r>
        <w:rPr>
          <w:rFonts w:ascii="Times New Roman"/>
          <w:b/>
          <w:i w:val="false"/>
          <w:color w:val="000000"/>
          <w:sz w:val="24"/>
          <w:lang w:val="pl-PL"/>
        </w:rPr>
        <w:t xml:space="preserve"> [Ocena bezpieczeństwa systemów informacyjnych przeprowadzana przez CSIRT]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lub CSIRT sektorowy mogą przeprowadzić ocenę bezpieczeństwa systemów informacyjnych wykorzystywanych przez podmioty krajowego systemu cyberbezpieczeństwa.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Ocena bezpieczeństwa polega na przeprowadzeniu testów bezpieczeństwa systemu informacyjnego w celu identyfikacji podatności tego systemu. Wyboru rodzaju testów bezpieczeństwa dokonuje się adekwatnie do systemu informacyjnego i świadczonej usługi z uwzględnieniem specyfiki sektora lub podsektora.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Przepisów niniejszego rozdziału nie stosuje się do ocen bezpieczeństwa systemów teleinformatycznych: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podmiotów krajowego systemu cyberbezpieczeństwa, które znajdują się w zbiorze organów i podmiotów, o których mowa w </w:t>
      </w:r>
      <w:r>
        <w:rPr>
          <w:rFonts w:ascii="Times New Roman"/>
          <w:b w:val="false"/>
          <w:i w:val="false"/>
          <w:color w:val="1b1b1b"/>
          <w:sz w:val="24"/>
          <w:lang w:val="pl-PL"/>
        </w:rPr>
        <w:t>art. 32a</w:t>
      </w:r>
      <w:r>
        <w:rPr>
          <w:rFonts w:ascii="Times New Roman"/>
          <w:b w:val="false"/>
          <w:i w:val="false"/>
          <w:color w:val="000000"/>
          <w:sz w:val="24"/>
          <w:lang w:val="pl-PL"/>
        </w:rPr>
        <w:t xml:space="preserve"> ustawy z dnia 24 maja 2002 r. o Agencji Bezpieczeństwa Wewnętrznego oraz Agencji Wywiadu;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akredytowanych na podstawie </w:t>
      </w:r>
      <w:r>
        <w:rPr>
          <w:rFonts w:ascii="Times New Roman"/>
          <w:b w:val="false"/>
          <w:i w:val="false"/>
          <w:color w:val="1b1b1b"/>
          <w:sz w:val="24"/>
          <w:lang w:val="pl-PL"/>
        </w:rPr>
        <w:t>art. 48</w:t>
      </w:r>
      <w:r>
        <w:rPr>
          <w:rFonts w:ascii="Times New Roman"/>
          <w:b w:val="false"/>
          <w:i w:val="false"/>
          <w:color w:val="000000"/>
          <w:sz w:val="24"/>
          <w:lang w:val="pl-PL"/>
        </w:rPr>
        <w:t xml:space="preserve"> ustawy z dnia 5 sierpnia 2010 r. o ochronie informacji niejawnych (Dz. U. z 2025 r. poz. 1209).</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Zespołem właściwym do przeprowadzenia oceny bezpieczeństwa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podmiotów, o których mowa w art. 26 ust. 5 - CSIRT MON;</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podmiotów, o których mowa w art. 26 ust. 6 pkt 1 lit. a-k - CSIRT NASK;</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podmiotów, o których mowa w art. 26 ust. 7 pkt 1-4d - CSIRT GOV.</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albo CSIRT GOV przeprowadza ocenę bezpieczeństwa systemu informacyjnego podmiotu krajowego systemu cyberbezpieczeństwa, po poinformowaniu organu właściwego do spraw cyberbezpieczeństwa o zamiarze przeprowadzenia oceny bezpieczeństwa.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CSIRT sektorowy może przeprowadzić ocenę bezpieczeństwa systemu informacyjnego podmiotu kluczowego lub podmiotu ważnego po uzyskaniu zgody CSIRT MON, CSIRT NASK lub CSIRT GOV właściwego dla danego podmiotu kluczowego lub podmiotu ważnego. O zamiarze przeprowadzenia oceny bezpieczeństwa systemu informacyjnego podmiotu krajowego systemu cyberbezpieczeństwa CSIRT sektorowy informuje organ właściwy do spraw cyberbezpieczeństwa dla danego sektora.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Przepisów ust. 5 i 6 nie stosuje się, gdy ocena bezpieczeństwa systemu informacyjnego jest przeprowadzana na zlecenie organu właściwego do spraw cyberbezpieczeństwa.</w:t>
      </w:r>
    </w:p>
    <w:p>
      <w:pPr>
        <w:spacing w:before="80" w:after="0"/>
        <w:ind w:left="0"/>
        <w:jc w:val="left"/>
        <w:textAlignment w:val="auto"/>
      </w:pPr>
      <w:r>
        <w:rPr>
          <w:rFonts w:ascii="Times New Roman"/>
          <w:b/>
          <w:i w:val="false"/>
          <w:color w:val="000000"/>
          <w:sz w:val="24"/>
          <w:lang w:val="pl-PL"/>
        </w:rPr>
        <w:t xml:space="preserve"> Art. 36b.</w:t>
      </w:r>
      <w:r>
        <w:rPr>
          <w:rFonts w:ascii="Times New Roman"/>
          <w:b/>
          <w:i w:val="false"/>
          <w:color w:val="000000"/>
          <w:sz w:val="24"/>
          <w:lang w:val="pl-PL"/>
        </w:rPr>
        <w:t xml:space="preserve"> [Zgoda na przeprowadzenie oceny bezpieczeństwa systemu informacyjnego lub zlecenie przeprowadzenia takiej oceny]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Ocena bezpieczeństwa systemu informacyjnego może być przeprowadzona: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zgodą podmiotu krajowego systemu cyberbezpieczeństwa, wyrażoną w formie pisemnej lub formie elektronicznej pod rygorem nieważności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zlecenie organu właściwego do spraw cyberbezpieczeństwa.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Ocenę bezpieczeństwa systemów informacyjnych Kancelarii Sejmu, Kancelarii Senatu, Kancelarii Prezydenta Rzeczypospolitej Polskiej, Narodowego Banku Polskiego, Biura Rzecznika Praw Obywatelskich, Biura Rzecznika Praw Dziecka, Instytutu Pamięci Narodowej - Komisji Ścigania Zbrodni przeciwko Narodowi Polskiemu, Państwowej Inspekcji Pracy, Trybunału Konstytucyjnego, Sądu Najwyższego, sądów administracyjnych, Najwyższej Izby Kontroli, Krajowej Rady Radiofonii i Telewizji, Krajowego Biura Wyborczego, Urzędu Ochrony Danych Osobowych przeprowadza się wyłącznie po uzyskaniu zgody tych podmiotów.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przed zleceniem przeprowadzenia oceny bezpieczeństwa przeprowadza analizę ryzyka, o której mowa w art. 53b ust. 2, i na jej podstawie dokonuje wyboru podmiotu kluczowego lub podmiotu ważnego, którego system informacyjny będzie podlegał ocenie bezpieczeństwa.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Ocenę bezpieczeństwa systemu informacyjnego przeprowadza się z uwzględnieniem zasady minimalizacji zakłócenia pracy systemu informacyjnego lub ograniczenia jego dostępności i nie może prowadzić ona do nieodwracalnego zniszczenia danych przetwarzanych w systemie informacyjnym podlegającym tej ocenie.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Ocena bezpieczeństwa nie może być przeprowadzona, a rozpoczętą przerywa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krajowego systemu cyberbezpieczeństwa nie posiada kopii bezpieczeństwa badanego systemu;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istnieje zagrożenie nieodwracalnego zniszczenia danych przetwarzanych w systemie;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czas potrzebny na przywrócenie systemu z kopii bezpieczeństwa może w istotny sposób zakłócić pracę systemu lub ograniczyć jego dostępność;</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czynności podejmowane podczas oceny bezpieczeństwa mogą doprowadzić do uszkodzenia produktów ICT wchodzących w skład tego systemu oraz innych systemów informacyjnych podmiotu kluczowego;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istnieje zagrożenie ograniczenia dostępności usług świadczonych przez podmiot krajowego systemu cyberbezpieczeństwa.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celu minimalizacji negatywnych następstw oceny bezpieczeństwa systemu informacyjnego CSIRT MON, CSIRT NASK, CSIRT GOV lub CSIRT sektorowy uzgadnia z podmiotem krajowego systemu cyberbezpieczeństwa, w drodze porozumienia, tryb i ramowe warunki przeprowadzania tej oceny, w szczególności datę rozpoczęcia, harmonogram oraz zakres i rodzaj przeprowadzanych w ramach oceny bezpieczeństwa testów bezpieczeństwa.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Podmiot krajowego systemu cyberbezpieczeństwa, którego system informacyjny podlega ocenie bezpieczeństwa, przekazuje CSIRT przeprowadzającemu ocenę niezbędne informacje techniczne i organizacyjne niezbędne do przeprowadzenia oceny bezpieczeństwa oraz wskazuje imię i nazwisko, adres służbowej poczty elektronicznej oraz numer telefonu służbowego osoby upoważnionej do reprezentacji podmiotu, a także osoby upoważnionej do udzielania wyjaśnień CSIRT w trakcie przeprowadzania oceny bezpieczeństwa.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CSIRT NASK, CSIRT GOV i CSIRT sektorowy mogą wytwarzać lub pozyskiwać urządzenia lub programy komputerowe, o których mowa w </w:t>
      </w:r>
      <w:r>
        <w:rPr>
          <w:rFonts w:ascii="Times New Roman"/>
          <w:b w:val="false"/>
          <w:i w:val="false"/>
          <w:color w:val="1b1b1b"/>
          <w:sz w:val="24"/>
          <w:lang w:val="pl-PL"/>
        </w:rPr>
        <w:t>art. 269b</w:t>
      </w:r>
      <w:r>
        <w:rPr>
          <w:rFonts w:ascii="Times New Roman"/>
          <w:b w:val="false"/>
          <w:i w:val="false"/>
          <w:color w:val="000000"/>
          <w:sz w:val="24"/>
          <w:lang w:val="pl-PL"/>
        </w:rPr>
        <w:t xml:space="preserve"> ustawy z dnia 6 czerwca 1997 r. - Kodeks karny (Dz. U. z 2025 r. poz. 383, 1818 i 1872), oraz ich używać w celu określenia podatności ocenianego systemu informacyjnego na możliwość popełnienia przestępstw, o których mowa w </w:t>
      </w:r>
      <w:r>
        <w:rPr>
          <w:rFonts w:ascii="Times New Roman"/>
          <w:b w:val="false"/>
          <w:i w:val="false"/>
          <w:color w:val="1b1b1b"/>
          <w:sz w:val="24"/>
          <w:lang w:val="pl-PL"/>
        </w:rPr>
        <w:t>art. 165 § 1 pkt 4</w:t>
      </w:r>
      <w:r>
        <w:rPr>
          <w:rFonts w:ascii="Times New Roman"/>
          <w:b w:val="false"/>
          <w:i w:val="false"/>
          <w:color w:val="000000"/>
          <w:sz w:val="24"/>
          <w:lang w:val="pl-PL"/>
        </w:rPr>
        <w:t xml:space="preserve">, </w:t>
      </w:r>
      <w:r>
        <w:rPr>
          <w:rFonts w:ascii="Times New Roman"/>
          <w:b w:val="false"/>
          <w:i w:val="false"/>
          <w:color w:val="1b1b1b"/>
          <w:sz w:val="24"/>
          <w:lang w:val="pl-PL"/>
        </w:rPr>
        <w:t>art. 267 § 3</w:t>
      </w:r>
      <w:r>
        <w:rPr>
          <w:rFonts w:ascii="Times New Roman"/>
          <w:b w:val="false"/>
          <w:i w:val="false"/>
          <w:color w:val="000000"/>
          <w:sz w:val="24"/>
          <w:lang w:val="pl-PL"/>
        </w:rPr>
        <w:t xml:space="preserve">, </w:t>
      </w:r>
      <w:r>
        <w:rPr>
          <w:rFonts w:ascii="Times New Roman"/>
          <w:b w:val="false"/>
          <w:i w:val="false"/>
          <w:color w:val="1b1b1b"/>
          <w:sz w:val="24"/>
          <w:lang w:val="pl-PL"/>
        </w:rPr>
        <w:t>art. 268a § 1</w:t>
      </w:r>
      <w:r>
        <w:rPr>
          <w:rFonts w:ascii="Times New Roman"/>
          <w:b w:val="false"/>
          <w:i w:val="false"/>
          <w:color w:val="000000"/>
          <w:sz w:val="24"/>
          <w:lang w:val="pl-PL"/>
        </w:rPr>
        <w:t xml:space="preserve"> albo </w:t>
      </w:r>
      <w:r>
        <w:rPr>
          <w:rFonts w:ascii="Times New Roman"/>
          <w:b w:val="false"/>
          <w:i w:val="false"/>
          <w:color w:val="1b1b1b"/>
          <w:sz w:val="24"/>
          <w:lang w:val="pl-PL"/>
        </w:rPr>
        <w:t>§ 2</w:t>
      </w:r>
      <w:r>
        <w:rPr>
          <w:rFonts w:ascii="Times New Roman"/>
          <w:b w:val="false"/>
          <w:i w:val="false"/>
          <w:color w:val="000000"/>
          <w:sz w:val="24"/>
          <w:lang w:val="pl-PL"/>
        </w:rPr>
        <w:t xml:space="preserve"> w związku z </w:t>
      </w:r>
      <w:r>
        <w:rPr>
          <w:rFonts w:ascii="Times New Roman"/>
          <w:b w:val="false"/>
          <w:i w:val="false"/>
          <w:color w:val="1b1b1b"/>
          <w:sz w:val="24"/>
          <w:lang w:val="pl-PL"/>
        </w:rPr>
        <w:t>§ 1</w:t>
      </w:r>
      <w:r>
        <w:rPr>
          <w:rFonts w:ascii="Times New Roman"/>
          <w:b w:val="false"/>
          <w:i w:val="false"/>
          <w:color w:val="000000"/>
          <w:sz w:val="24"/>
          <w:lang w:val="pl-PL"/>
        </w:rPr>
        <w:t xml:space="preserve">, </w:t>
      </w:r>
      <w:r>
        <w:rPr>
          <w:rFonts w:ascii="Times New Roman"/>
          <w:b w:val="false"/>
          <w:i w:val="false"/>
          <w:color w:val="1b1b1b"/>
          <w:sz w:val="24"/>
          <w:lang w:val="pl-PL"/>
        </w:rPr>
        <w:t>art. 269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albo </w:t>
      </w:r>
      <w:r>
        <w:rPr>
          <w:rFonts w:ascii="Times New Roman"/>
          <w:b w:val="false"/>
          <w:i w:val="false"/>
          <w:color w:val="1b1b1b"/>
          <w:sz w:val="24"/>
          <w:lang w:val="pl-PL"/>
        </w:rPr>
        <w:t>art. 269a</w:t>
      </w:r>
      <w:r>
        <w:rPr>
          <w:rFonts w:ascii="Times New Roman"/>
          <w:b w:val="false"/>
          <w:i w:val="false"/>
          <w:color w:val="000000"/>
          <w:sz w:val="24"/>
          <w:lang w:val="pl-PL"/>
        </w:rPr>
        <w:t xml:space="preserve"> ustawy z dnia 6 czerwca 1997 r. - Kodeks karny.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Używając urządzeń lub programów komputerowych, o których mowa w ust. 8, CSIRT MON, CSIRT NASK, CSIRT GOV i CSIRT sektorowy mogą uzyskać dostęp do informacji dla nich nieprzeznaczonej, przełamując albo omijając elektroniczne, magnetyczne, informatyczne lub inne szczególne zabezpieczenie, lub mogą uzyskać dostęp do całości lub części tego systemu informacyjnego.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Informacje uzyskane przez CSIRT MON, CSIRT NASK, CSIRT GOV i CSIRT sektorowy w wyniku przeprowadzania oceny bezpieczeństwa systemu informacyjnego stanowią tajemnicę prawnie chronioną i nie mogą być wykorzystane do realizacji innych zadań ustawowych CSIRT MON, CSIRT NASK, CSIRT GOV i CSIRT sektorowego.</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Materiały zawierające informacje, o których mowa w ust. 10, podlegają niezwłocznemu, trwałemu i nieodwracalnemu, protokolarnemu zniszczeniu, którego dokonuje komisja. Zniszczeniu nie podlegają informacje o czynnościach przeprowadzanych w ramach oceny bezpieczeństwa oraz o wykrytych podatnościach systemu informacyjnego.</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Komisja, o której mowa w ust. 11 zdanie pierwsze, składa się z trzech osób powołanych przez osobę kierującą zespołem CSIRT spośród pracowników, funkcjonariuszy lub żołnierzy realizujących zadania odpowiednio w CSIRT MON, CSIRT NASK, CSIRT GOV albo CSIRT sektorowym.</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Po przeprowadzeniu oceny bezpieczeństwa systemu informacyjnego CSIRT MON, CSIRT NASK, CSIRT GOV i CSIRT sektorowy sporządzają i przekazują podmiotowi, którego system podlegał ocenie bezpieczeństwa, raport zawierający podsumowanie przeprowadzonych w ramach oceny bezpieczeństwa czynności oraz wskazanie wykrytych podatności systemu informacyjnego. Jeżeli ocenę bezpieczeństwa przeprowadza CSIRT sektorowy, to raport przekazywany jest do właściwego CSIRT MON, CSIRT NASK albo CSIRT GOV.</w:t>
      </w:r>
    </w:p>
    <w:p>
      <w:pPr>
        <w:spacing w:before="80" w:after="0"/>
        <w:ind w:left="0"/>
        <w:jc w:val="left"/>
        <w:textAlignment w:val="auto"/>
      </w:pPr>
      <w:r>
        <w:rPr>
          <w:rFonts w:ascii="Times New Roman"/>
          <w:b/>
          <w:i w:val="false"/>
          <w:color w:val="000000"/>
          <w:sz w:val="24"/>
          <w:lang w:val="pl-PL"/>
        </w:rPr>
        <w:t xml:space="preserve"> Art. 36c.</w:t>
      </w:r>
      <w:r>
        <w:rPr>
          <w:rFonts w:ascii="Times New Roman"/>
          <w:b/>
          <w:i w:val="false"/>
          <w:color w:val="000000"/>
          <w:sz w:val="24"/>
          <w:lang w:val="pl-PL"/>
        </w:rPr>
        <w:t xml:space="preserve"> [Informowanie o wykrytej podatności i możliwym jej wystąpieniu w innych systemach informacyjnych]</w:t>
      </w:r>
    </w:p>
    <w:p>
      <w:pPr>
        <w:spacing w:after="0"/>
        <w:ind w:left="0"/>
        <w:jc w:val="left"/>
        <w:textAlignment w:val="auto"/>
      </w:pPr>
      <w:r>
        <w:rPr>
          <w:rFonts w:ascii="Times New Roman"/>
          <w:b w:val="false"/>
          <w:i w:val="false"/>
          <w:color w:val="000000"/>
          <w:sz w:val="24"/>
          <w:lang w:val="pl-PL"/>
        </w:rPr>
        <w:t>Jeżeli wykryta podatność może wystąpić w innych systemach informacyjnych, CSIRT MON, CSIRT NASK, CSIRT GOV i CSIRT sektorowy informują niezwłocznie ministra właściwego do spraw informatyzacji oraz Pełnomocnika o wykrytej podatności oraz o możliwości jej wystąpienia w innych systemach informacyjnych.</w:t>
      </w:r>
    </w:p>
    <w:p>
      <w:pPr>
        <w:spacing w:before="80" w:after="0"/>
        <w:ind w:left="0"/>
        <w:jc w:val="left"/>
        <w:textAlignment w:val="auto"/>
      </w:pPr>
      <w:r>
        <w:rPr>
          <w:rFonts w:ascii="Times New Roman"/>
          <w:b/>
          <w:i w:val="false"/>
          <w:color w:val="000000"/>
          <w:sz w:val="24"/>
          <w:lang w:val="pl-PL"/>
        </w:rPr>
        <w:t xml:space="preserve"> Art. 36d.</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przeprowadzania oceny bezpieczeństwa, o której mowa w art. 36a,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szczegółowe informacje przekazywane do CSIRT niezbędne do przeprowadzenia oceny bezpieczeństwa,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rodzaje przeprowadzanych testów bezpieczeństwa w ramach oceny bezpieczeństwa, o których mowa w art. 36a ust. 2,</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sposób niszczenia materiałów zawierających informacje, o których mowa w art. 36b ust. 10,</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tryb działania komisji, o której mowa w art. 36b ust. 11 zdanie pierwsze,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wzór protokołu zniszczenia materiałów zawierających informacje, o których mowa w art. 36b ust. 10</w:t>
      </w:r>
    </w:p>
    <w:p>
      <w:pPr>
        <w:spacing w:before="25" w:after="0"/>
        <w:ind w:left="0"/>
        <w:jc w:val="left"/>
        <w:textAlignment w:val="auto"/>
      </w:pPr>
      <w:r>
        <w:rPr>
          <w:rFonts w:ascii="Times New Roman"/>
          <w:b w:val="false"/>
          <w:i w:val="false"/>
          <w:color w:val="000000"/>
          <w:sz w:val="24"/>
          <w:lang w:val="pl-PL"/>
        </w:rPr>
        <w:t>- mając na uwadze konieczność zapewnienia sprawnego przeprowadzenia oceny bezpieczeństwa, bezpieczeństwo systemów informacyjnych podlegających ocenie, rodzaj materiałów podlegających zniszczeniu i konieczność zapewnienia efektywności i przejrzystości prowadzonych działań komisji.</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Zasady udostępniania informacji i przetwarzania danych osobowych</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[Udostępnianie informacji o podatnościach, incydentach i cyberzagrożeniach]</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242</w:t>
      </w:r>
      <w:r>
        <w:rPr>
          <w:rFonts w:ascii="Times New Roman"/>
          <w:b w:val="false"/>
          <w:i w:val="false"/>
          <w:color w:val="000000"/>
          <w:sz w:val="24"/>
          <w:lang w:val="pl-PL"/>
        </w:rPr>
        <w:t xml:space="preserve"> </w:t>
      </w:r>
      <w:r>
        <w:rPr>
          <w:rFonts w:ascii="Times New Roman"/>
          <w:b w:val="false"/>
          <w:i w:val="false"/>
          <w:color w:val="000000"/>
          <w:sz w:val="24"/>
          <w:lang w:val="pl-PL"/>
        </w:rPr>
        <w:t>Do udostępniania informacji o podatnościach, incydentach i cyberzagrożeniach oraz o ryzyku wystąpienia incydentów nie stosuje się przepisów: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o dostępie do informacji publicznej;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11 sierpnia 2021 r. o otwartych danych i ponownym wykorzystywaniu informacji sektora publicznego, z wyjątkiem informacji, których udostępnienie nie zagrażałoby bezpieczeństwu państwa lub bezpieczeństwu publicznemu.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243</w:t>
      </w:r>
      <w:r>
        <w:rPr>
          <w:rFonts w:ascii="Times New Roman"/>
          <w:b w:val="false"/>
          <w:i w:val="false"/>
          <w:color w:val="000000"/>
          <w:sz w:val="24"/>
          <w:lang w:val="pl-PL"/>
        </w:rPr>
        <w:t xml:space="preserve"> </w:t>
      </w:r>
      <w:r>
        <w:rPr>
          <w:rFonts w:ascii="Times New Roman"/>
          <w:b w:val="false"/>
          <w:i w:val="false"/>
          <w:color w:val="000000"/>
          <w:sz w:val="24"/>
          <w:lang w:val="pl-PL"/>
        </w:rPr>
        <w:t>Właściwy CSIRT MON, CSIRT NASK, CSIRT GOV lub CSIRT sektorowy mogą, po konsultacji ze zgłaszającym podmiotem kluczowym lub podmiotem ważnym, opublikować na stronie podmiotowej Biuletynu Informacji Publicznej odpowiednio Ministra Obrony Narodowej, Naukowej i Akademickiej Sieci Komputerowej - Państwowego Instytutu Badawczego, Agencji Bezpieczeństwa Wewnętrznego lub organu właściwego do spraw cyberbezpieczeństwa informacje o incydentach poważnych, gdy jest to niezbędne, aby zapobiec wystąpieniu incydentu albo zapewnić obsługę incydentu.</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244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245</w:t>
      </w:r>
      <w:r>
        <w:rPr>
          <w:rFonts w:ascii="Times New Roman"/>
          <w:b w:val="false"/>
          <w:i w:val="false"/>
          <w:color w:val="000000"/>
          <w:sz w:val="24"/>
          <w:lang w:val="pl-PL"/>
        </w:rPr>
        <w:t xml:space="preserve"> </w:t>
      </w:r>
      <w:r>
        <w:rPr>
          <w:rFonts w:ascii="Times New Roman"/>
          <w:b w:val="false"/>
          <w:i w:val="false"/>
          <w:color w:val="000000"/>
          <w:sz w:val="24"/>
          <w:lang w:val="pl-PL"/>
        </w:rPr>
        <w:t>Opublikowanie informacji, o których mowa w ust. 2, nie może naruszać przepisów o ochronie informacji niejawnych oraz innych tajemnic prawnie chronionych ani przepisów o ochronie danych osobowych.</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[Negatywne przesłanki udostępniania informacji przetwarzanych na podstawie ustawy]</w:t>
      </w:r>
    </w:p>
    <w:p>
      <w:pPr>
        <w:spacing w:after="0"/>
        <w:ind w:left="0"/>
        <w:jc w:val="left"/>
        <w:textAlignment w:val="auto"/>
      </w:pPr>
      <w:r>
        <w:rPr>
          <w:rFonts w:ascii="Times New Roman"/>
          <w:b w:val="false"/>
          <w:i w:val="false"/>
          <w:color w:val="000000"/>
          <w:sz w:val="24"/>
          <w:lang w:val="pl-PL"/>
        </w:rPr>
        <w:t>Nie udostępnia się informacji przetwarzanych na podstawie ustawy, jeżeli ich ujawnienie naruszyłoby ochronę interesu publicznego w odniesieniu do bezpieczeństwa lub porządku publicznego, a także negatywnie wpłynęłoby na prowadzenie postępowań przygotowawczych w sprawie przestępstw, ich wykrywania i ścigania.</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[Dane przetwarzane na podstawie ustawy]</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246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 których mowa w art. 26 ust. 3 pkt 1-11, 14 i 16-21 i ust. 5-8, art. 26a-26c oraz art. 44 ust. 1-1c i 3, CSIRT MON, CSIRT NASK, CSIRT GOV i CSIRT sektorowe przetwarzają dane pozyskane w związku z incydentami i cyberzagrożeniami, w tym dane osobowe, obejmujące także dane określone w </w:t>
      </w:r>
      <w:r>
        <w:rPr>
          <w:rFonts w:ascii="Times New Roman"/>
          <w:b w:val="false"/>
          <w:i w:val="false"/>
          <w:color w:val="1b1b1b"/>
          <w:sz w:val="24"/>
          <w:lang w:val="pl-PL"/>
        </w:rPr>
        <w:t>art. 9 ust. 1</w:t>
      </w:r>
      <w:r>
        <w:rPr>
          <w:rFonts w:ascii="Times New Roman"/>
          <w:b w:val="false"/>
          <w:i w:val="false"/>
          <w:color w:val="000000"/>
          <w:sz w:val="24"/>
          <w:lang w:val="pl-PL"/>
        </w:rPr>
        <w:t xml:space="preserve"> i </w:t>
      </w:r>
      <w:r>
        <w:rPr>
          <w:rFonts w:ascii="Times New Roman"/>
          <w:b w:val="false"/>
          <w:i w:val="false"/>
          <w:color w:val="1b1b1b"/>
          <w:sz w:val="24"/>
          <w:lang w:val="pl-PL"/>
        </w:rPr>
        <w:t>art. 10</w:t>
      </w:r>
      <w:r>
        <w:rPr>
          <w:rFonts w:ascii="Times New Roman"/>
          <w:b w:val="false"/>
          <w:i w:val="false"/>
          <w:color w:val="000000"/>
          <w:sz w:val="24"/>
          <w:lang w:val="pl-P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zwanego dalej "rozporządzeniem 2016/679", w zakresie i w celu niezbędnym do realizacji tych zadań.</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247</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CSIRT NASK i CSIRT sektorowe, przetwarzając dane osobowe określone w </w:t>
      </w:r>
      <w:r>
        <w:rPr>
          <w:rFonts w:ascii="Times New Roman"/>
          <w:b w:val="false"/>
          <w:i w:val="false"/>
          <w:color w:val="1b1b1b"/>
          <w:sz w:val="24"/>
          <w:lang w:val="pl-PL"/>
        </w:rPr>
        <w:t>art. 9 ust. 1</w:t>
      </w:r>
      <w:r>
        <w:rPr>
          <w:rFonts w:ascii="Times New Roman"/>
          <w:b w:val="false"/>
          <w:i w:val="false"/>
          <w:color w:val="000000"/>
          <w:sz w:val="24"/>
          <w:lang w:val="pl-PL"/>
        </w:rPr>
        <w:t xml:space="preserve"> i </w:t>
      </w:r>
      <w:r>
        <w:rPr>
          <w:rFonts w:ascii="Times New Roman"/>
          <w:b w:val="false"/>
          <w:i w:val="false"/>
          <w:color w:val="1b1b1b"/>
          <w:sz w:val="24"/>
          <w:lang w:val="pl-PL"/>
        </w:rPr>
        <w:t>art. 10</w:t>
      </w:r>
      <w:r>
        <w:rPr>
          <w:rFonts w:ascii="Times New Roman"/>
          <w:b w:val="false"/>
          <w:i w:val="false"/>
          <w:color w:val="000000"/>
          <w:sz w:val="24"/>
          <w:lang w:val="pl-PL"/>
        </w:rPr>
        <w:t xml:space="preserve"> rozporządzenia 2016/679, prowadzą analizę ryzyka, stosują środki ochrony przed złośliwym oprogramowaniem oraz mechanizmy kontroli dostępu, a także opracowują procedury bezpiecznej wymiany informacji.</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248</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przetwarzają dane osobowe pozyskane w związku z incydentami i cyberzagrożeniami: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dotyczące użytkowników systemów informacyjnych oraz użytkowników telekomunikacyjnych urządzeń końcowych;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telekomunikacyjnych urządzeń końcowych w rozumieniu </w:t>
      </w:r>
      <w:r>
        <w:rPr>
          <w:rFonts w:ascii="Times New Roman"/>
          <w:b w:val="false"/>
          <w:i w:val="false"/>
          <w:color w:val="1b1b1b"/>
          <w:sz w:val="24"/>
          <w:lang w:val="pl-PL"/>
        </w:rPr>
        <w:t>art. 2 pkt 71</w:t>
      </w:r>
      <w:r>
        <w:rPr>
          <w:rFonts w:ascii="Times New Roman"/>
          <w:b w:val="false"/>
          <w:i w:val="false"/>
          <w:color w:val="000000"/>
          <w:sz w:val="24"/>
          <w:lang w:val="pl-PL"/>
        </w:rPr>
        <w:t xml:space="preserve"> ustawy z dnia 12 lipca 2024 r. - Prawo komunikacji elektronicznej;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249</w:t>
      </w:r>
      <w:r>
        <w:rPr>
          <w:rFonts w:ascii="Times New Roman"/>
          <w:b w:val="false"/>
          <w:i w:val="false"/>
          <w:color w:val="000000"/>
          <w:sz w:val="24"/>
          <w:lang w:val="pl-PL"/>
        </w:rPr>
        <w:t xml:space="preserve"> </w:t>
      </w:r>
      <w:r>
        <w:rPr>
          <w:rFonts w:ascii="Times New Roman"/>
          <w:b w:val="false"/>
          <w:i w:val="false"/>
          <w:color w:val="000000"/>
          <w:sz w:val="24"/>
          <w:lang w:val="pl-PL"/>
        </w:rPr>
        <w:t>gromadzone przez podmioty kluczowe lub podmioty ważne w związku ze świadczeniem usług;</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250</w:t>
      </w:r>
      <w:r>
        <w:rPr>
          <w:rFonts w:ascii="Times New Roman"/>
          <w:b w:val="false"/>
          <w:i w:val="false"/>
          <w:color w:val="000000"/>
          <w:sz w:val="24"/>
          <w:lang w:val="pl-PL"/>
        </w:rPr>
        <w:t xml:space="preserve"> </w:t>
      </w:r>
      <w:r>
        <w:rPr>
          <w:rFonts w:ascii="Times New Roman"/>
          <w:b w:val="false"/>
          <w:i w:val="false"/>
          <w:color w:val="000000"/>
          <w:sz w:val="24"/>
          <w:lang w:val="pl-PL"/>
        </w:rPr>
        <w:t>dotyczące podmiotów zgłaszających incydent zgodnie z art. 30 ust. 1.</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251</w:t>
      </w:r>
      <w:r>
        <w:rPr>
          <w:rFonts w:ascii="Times New Roman"/>
          <w:b w:val="false"/>
          <w:i w:val="false"/>
          <w:color w:val="000000"/>
          <w:sz w:val="24"/>
          <w:lang w:val="pl-PL"/>
        </w:rPr>
        <w:t xml:space="preserve"> </w:t>
      </w:r>
      <w:r>
        <w:rPr>
          <w:rFonts w:ascii="Times New Roman"/>
          <w:b w:val="false"/>
          <w:i w:val="false"/>
          <w:color w:val="000000"/>
          <w:sz w:val="24"/>
          <w:lang w:val="pl-PL"/>
        </w:rPr>
        <w:t>W celu realizacji zadań określonych w ustawie minister właściwy do spraw informatyzacji, dyrektor Rządowego Centrum Bezpieczeństwa, Pełnomocnik, minister właściwy do spraw zagranicznych oraz organy właściwe do spraw cyberbezpieczeństwa przetwarzają dane osobowe pozyskane w związku z incydentami i cyberzagrożeniami: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252</w:t>
      </w:r>
      <w:r>
        <w:rPr>
          <w:rFonts w:ascii="Times New Roman"/>
          <w:b w:val="false"/>
          <w:i w:val="false"/>
          <w:color w:val="000000"/>
          <w:sz w:val="24"/>
          <w:lang w:val="pl-PL"/>
        </w:rPr>
        <w:t xml:space="preserve"> </w:t>
      </w:r>
      <w:r>
        <w:rPr>
          <w:rFonts w:ascii="Times New Roman"/>
          <w:b w:val="false"/>
          <w:i w:val="false"/>
          <w:color w:val="000000"/>
          <w:sz w:val="24"/>
          <w:lang w:val="pl-PL"/>
        </w:rPr>
        <w:t>gromadzone przez podmioty kluczowe lub podmioty ważne w związku ze świadczeniem usług;</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253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podmiotów zgłaszających incydent zgodnie z </w:t>
      </w:r>
      <w:r>
        <w:rPr>
          <w:rFonts w:ascii="Times New Roman"/>
          <w:b w:val="false"/>
          <w:i w:val="false"/>
          <w:color w:val="1b1b1b"/>
          <w:sz w:val="24"/>
          <w:lang w:val="pl-PL"/>
        </w:rPr>
        <w:t>art. 30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4a. </w:t>
      </w:r>
      <w:r>
        <w:rPr>
          <w:rFonts w:ascii="Times New Roman"/>
          <w:b w:val="false"/>
          <w:i w:val="false"/>
          <w:color w:val="000000"/>
          <w:sz w:val="24"/>
          <w:vertAlign w:val="superscript"/>
          <w:lang w:val="pl-PL"/>
        </w:rPr>
        <w:t>254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przetwarza dane osobowe zawierające imię i nazwisko oraz numer PESEL osób fizycznych lub niepowtarzalny identyfikator środka identyfikacji elektronicznej, o którym mowa w aktach wykonawczych Komisji Europejskiej, wydanych na podstawie </w:t>
      </w:r>
      <w:r>
        <w:rPr>
          <w:rFonts w:ascii="Times New Roman"/>
          <w:b w:val="false"/>
          <w:i w:val="false"/>
          <w:color w:val="1b1b1b"/>
          <w:sz w:val="24"/>
          <w:lang w:val="pl-PL"/>
        </w:rPr>
        <w:t>art. 12 ust. 8</w:t>
      </w:r>
      <w:r>
        <w:rPr>
          <w:rFonts w:ascii="Times New Roman"/>
          <w:b w:val="false"/>
          <w:i w:val="false"/>
          <w:color w:val="000000"/>
          <w:sz w:val="24"/>
          <w:lang w:val="pl-PL"/>
        </w:rPr>
        <w:t xml:space="preserve"> rozporządzenia 910/2014, które w imieniu podmiotu kluczowego lub podmiotu ważnego korzystają z systemu teleinformatycznego, o którym mowa w art. 46 ust. 1, w celu ich uwierzytelnienia w tym systemie.</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255</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ust. 3 i 4, są anonimizowane przez CSIRT MON, CSIRT NASK i CSIRT sektorowy niezwłocznie po stwierdzeniu, że nie są niezbędne do realizacji zadań, o których mowa w art. 26 ust. 3 pkt 1-11, 14 i 16-21 i ust. 5-8, art. 26a-26c oraz art. 44 ust. 1-1c i 3.</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256</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ust. 3 i 4, niezbędne do realizacji zadań, o których mowa w art. 26 ust. 3 pkt 1-11, 14 i 16-21 i ust. 5-8, art. 26a-26c oraz art. 44 ust. 1-1c i 3, są anonimizowane przez CSIRT MON, CSIRT NASK i CSIRT sektorowy po upływie 5 lat od zakończenia obsługi incydentu, którego dotyczą, z uwzględnieniem ust. 6a.</w:t>
      </w:r>
    </w:p>
    <w:p>
      <w:pPr>
        <w:spacing w:before="26" w:after="0"/>
        <w:ind w:left="0"/>
        <w:jc w:val="left"/>
        <w:textAlignment w:val="auto"/>
      </w:pPr>
      <w:r>
        <w:rPr>
          <w:rFonts w:ascii="Times New Roman"/>
          <w:b w:val="false"/>
          <w:i w:val="false"/>
          <w:color w:val="000000"/>
          <w:sz w:val="24"/>
          <w:lang w:val="pl-PL"/>
        </w:rPr>
        <w:t xml:space="preserve">6a. </w:t>
      </w:r>
      <w:r>
        <w:rPr>
          <w:rFonts w:ascii="Times New Roman"/>
          <w:b w:val="false"/>
          <w:i w:val="false"/>
          <w:color w:val="000000"/>
          <w:sz w:val="24"/>
          <w:vertAlign w:val="superscript"/>
          <w:lang w:val="pl-PL"/>
        </w:rPr>
        <w:t>257</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ust. 3 i 4, niezbędne do realizacji zadania, o którym mowa w art. 26a, są anonimizowane przez CSIRT NASK po upływie 5 lat od dnia ich pozyskania.</w:t>
      </w:r>
    </w:p>
    <w:p>
      <w:pPr>
        <w:spacing w:before="26" w:after="0"/>
        <w:ind w:left="0"/>
        <w:jc w:val="left"/>
        <w:textAlignment w:val="auto"/>
      </w:pPr>
      <w:r>
        <w:rPr>
          <w:rFonts w:ascii="Times New Roman"/>
          <w:b w:val="false"/>
          <w:i w:val="false"/>
          <w:color w:val="000000"/>
          <w:sz w:val="24"/>
          <w:lang w:val="pl-PL"/>
        </w:rPr>
        <w:t xml:space="preserve">6b. </w:t>
      </w:r>
      <w:r>
        <w:rPr>
          <w:rFonts w:ascii="Times New Roman"/>
          <w:b w:val="false"/>
          <w:i w:val="false"/>
          <w:color w:val="000000"/>
          <w:sz w:val="24"/>
          <w:vertAlign w:val="superscript"/>
          <w:lang w:val="pl-PL"/>
        </w:rPr>
        <w:t>258</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art. 26c ust. 2, są anonimizowane przez CSIRT NASK po upływie 5 lat od dnia ich pozyskania.</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259</w:t>
      </w:r>
      <w:r>
        <w:rPr>
          <w:rFonts w:ascii="Times New Roman"/>
          <w:b w:val="false"/>
          <w:i w:val="false"/>
          <w:color w:val="000000"/>
          <w:sz w:val="24"/>
          <w:lang w:val="pl-PL"/>
        </w:rPr>
        <w:t xml:space="preserve"> </w:t>
      </w:r>
      <w:r>
        <w:rPr>
          <w:rFonts w:ascii="Times New Roman"/>
          <w:b w:val="false"/>
          <w:i w:val="false"/>
          <w:color w:val="000000"/>
          <w:sz w:val="24"/>
          <w:lang w:val="pl-PL"/>
        </w:rPr>
        <w:t>W celu realizacji zadań określonych w ustawie CSIRT MON, CSIRT NASK, CSIRT GOV i CSIRT sektorowe mogą przekazywać sobie wzajemnie dane, o których mowa w ust. 3, w zakresie niezbędnym do realizacji tych zadań i współpracować z organem właściwym do spraw ochrony danych osobowych.</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260</w:t>
      </w:r>
      <w:r>
        <w:rPr>
          <w:rFonts w:ascii="Times New Roman"/>
          <w:b w:val="false"/>
          <w:i w:val="false"/>
          <w:color w:val="000000"/>
          <w:sz w:val="24"/>
          <w:lang w:val="pl-PL"/>
        </w:rPr>
        <w:t xml:space="preserve"> </w:t>
      </w:r>
      <w:r>
        <w:rPr>
          <w:rFonts w:ascii="Times New Roman"/>
          <w:b w:val="false"/>
          <w:i w:val="false"/>
          <w:color w:val="000000"/>
          <w:sz w:val="24"/>
          <w:lang w:val="pl-PL"/>
        </w:rPr>
        <w:t xml:space="preserve">Realizacja obowiązków wynikających z </w:t>
      </w:r>
      <w:r>
        <w:rPr>
          <w:rFonts w:ascii="Times New Roman"/>
          <w:b w:val="false"/>
          <w:i w:val="false"/>
          <w:color w:val="1b1b1b"/>
          <w:sz w:val="24"/>
          <w:lang w:val="pl-PL"/>
        </w:rPr>
        <w:t>art. 15</w:t>
      </w:r>
      <w:r>
        <w:rPr>
          <w:rFonts w:ascii="Times New Roman"/>
          <w:b w:val="false"/>
          <w:i w:val="false"/>
          <w:color w:val="000000"/>
          <w:sz w:val="24"/>
          <w:lang w:val="pl-PL"/>
        </w:rPr>
        <w:t xml:space="preserve">, </w:t>
      </w:r>
      <w:r>
        <w:rPr>
          <w:rFonts w:ascii="Times New Roman"/>
          <w:b w:val="false"/>
          <w:i w:val="false"/>
          <w:color w:val="1b1b1b"/>
          <w:sz w:val="24"/>
          <w:lang w:val="pl-PL"/>
        </w:rPr>
        <w:t>art. 16</w:t>
      </w:r>
      <w:r>
        <w:rPr>
          <w:rFonts w:ascii="Times New Roman"/>
          <w:b w:val="false"/>
          <w:i w:val="false"/>
          <w:color w:val="000000"/>
          <w:sz w:val="24"/>
          <w:lang w:val="pl-PL"/>
        </w:rPr>
        <w:t xml:space="preserve">, </w:t>
      </w:r>
      <w:r>
        <w:rPr>
          <w:rFonts w:ascii="Times New Roman"/>
          <w:b w:val="false"/>
          <w:i w:val="false"/>
          <w:color w:val="1b1b1b"/>
          <w:sz w:val="24"/>
          <w:lang w:val="pl-PL"/>
        </w:rPr>
        <w:t>art. 18 ust. 1 lit. a</w:t>
      </w:r>
      <w:r>
        <w:rPr>
          <w:rFonts w:ascii="Times New Roman"/>
          <w:b w:val="false"/>
          <w:i w:val="false"/>
          <w:color w:val="000000"/>
          <w:sz w:val="24"/>
          <w:lang w:val="pl-PL"/>
        </w:rPr>
        <w:t xml:space="preserve"> i </w:t>
      </w:r>
      <w:r>
        <w:rPr>
          <w:rFonts w:ascii="Times New Roman"/>
          <w:b w:val="false"/>
          <w:i w:val="false"/>
          <w:color w:val="1b1b1b"/>
          <w:sz w:val="24"/>
          <w:lang w:val="pl-PL"/>
        </w:rPr>
        <w:t>d</w:t>
      </w:r>
      <w:r>
        <w:rPr>
          <w:rFonts w:ascii="Times New Roman"/>
          <w:b w:val="false"/>
          <w:i w:val="false"/>
          <w:color w:val="000000"/>
          <w:sz w:val="24"/>
          <w:lang w:val="pl-PL"/>
        </w:rPr>
        <w:t xml:space="preserve"> oraz </w:t>
      </w:r>
      <w:r>
        <w:rPr>
          <w:rFonts w:ascii="Times New Roman"/>
          <w:b w:val="false"/>
          <w:i w:val="false"/>
          <w:color w:val="1b1b1b"/>
          <w:sz w:val="24"/>
          <w:lang w:val="pl-PL"/>
        </w:rPr>
        <w:t>art. 19</w:t>
      </w:r>
      <w:r>
        <w:rPr>
          <w:rFonts w:ascii="Times New Roman"/>
          <w:b w:val="false"/>
          <w:i w:val="false"/>
          <w:color w:val="000000"/>
          <w:sz w:val="24"/>
          <w:lang w:val="pl-PL"/>
        </w:rPr>
        <w:t xml:space="preserve"> zdanie drugie rozporządzenia 2016/679 przez CSIRT MON, CSIRT NASK i CSIRT sektorowe, w zakresie danych, o których mowa w ust. 3, jest możliwa dopiero po zakończeniu obsługi incydentu, w związku z którym dane zostały pozyskane, lub po zakończeniu obsługi incydentu, do którego obsługi te dane są niezbędne.</w:t>
      </w:r>
    </w:p>
    <w:p>
      <w:pPr>
        <w:spacing w:before="26" w:after="0"/>
        <w:ind w:left="0"/>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261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i CSIRT sektorowe publikują na swoich stronach internetowych: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kontaktowe administratora danych osobowych oraz, gdy ma to zastosowanie, dane kontaktowe inspektora ochrony danych osobowych;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cele przetwarzania i podstawę prawną przetwarzania;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kategorie przetwarzanych danych osobowych;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o odbiorcach danych osobowych;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informacje o tym, przez jaki okres dane osobowe będą przechowywane;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informacje o ograniczeniach obowiązków i praw osób, których dane dotyczą;</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informacje o prawie wniesienia skargi do organu właściwego do spraw ochrony danych osobowych;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źródło pochodzenia danych osobowych.</w:t>
      </w:r>
    </w:p>
    <w:p>
      <w:pPr>
        <w:spacing w:before="26" w:after="0"/>
        <w:ind w:left="0"/>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262</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ust. 4, są anonimizowane przez ministra właściwego do spraw informatyzacji, dyrektora Rządowego Centrum Bezpieczeństwa, Pełnomocnika, ministra właściwego do spraw zagranicznych oraz organy właściwe do spraw cyberbezpieczeństwa niezwłocznie po stwierdzeniu, że nie są niezbędne do realizacji zadań wynikających z ustawy, niepóźniej niż po 5 latach po ich uzyskaniu.</w:t>
      </w:r>
    </w:p>
    <w:p>
      <w:pPr>
        <w:spacing w:before="26" w:after="0"/>
        <w:ind w:left="0"/>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263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przetwarza dane osobowe, w tym dane,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rozporządzenia 2016/679, które zostały zawarte w stanowiskach zgłoszonych w ramach konsultacji publicznych projektu dokumentu, o którym mowa w art. 45 ust. 3.</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[Przetwarzanie danych stanowiących tajemnice prawnie chronione]</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264</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CSIRT sektorowe i minister właściwy do spraw informatyzacji przetwarzają informacje stanowiące tajemnice prawnie chronione, w tym stanowiące tajemnicę przedsiębiorstwa, gdy jest to konieczne dla realizacji zadań, o których mowa w ustawie.</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265</w:t>
      </w:r>
      <w:r>
        <w:rPr>
          <w:rFonts w:ascii="Times New Roman"/>
          <w:b w:val="false"/>
          <w:i w:val="false"/>
          <w:color w:val="000000"/>
          <w:sz w:val="24"/>
          <w:lang w:val="pl-PL"/>
        </w:rPr>
        <w:t xml:space="preserve"> </w:t>
      </w:r>
      <w:r>
        <w:rPr>
          <w:rFonts w:ascii="Times New Roman"/>
          <w:b w:val="false"/>
          <w:i w:val="false"/>
          <w:color w:val="000000"/>
          <w:sz w:val="24"/>
          <w:lang w:val="pl-PL"/>
        </w:rPr>
        <w:t xml:space="preserve">CSIRT MON, CSIRT NASK, CSIRT GOV i CSIRT sektorowe przekazują informacje, o których mowa w </w:t>
      </w:r>
      <w:r>
        <w:rPr>
          <w:rFonts w:ascii="Times New Roman"/>
          <w:b w:val="false"/>
          <w:i w:val="false"/>
          <w:color w:val="1b1b1b"/>
          <w:sz w:val="24"/>
          <w:lang w:val="pl-PL"/>
        </w:rPr>
        <w:t>ust. 1</w:t>
      </w:r>
      <w:r>
        <w:rPr>
          <w:rFonts w:ascii="Times New Roman"/>
          <w:b w:val="false"/>
          <w:i w:val="false"/>
          <w:color w:val="000000"/>
          <w:sz w:val="24"/>
          <w:lang w:val="pl-PL"/>
        </w:rPr>
        <w:t>, organom ścigania w związku z incydentem wyczerpującym znamiona przestępstwa.</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266</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i CSIRT sektorowe obowiązane są do zachowania w tajemnicy informacji, w tym informacji stanowiących tajemnice prawnie chronione, uzyskanych w związku z realizacją zadań, o których mowa w ustawie.</w:t>
      </w:r>
    </w:p>
    <w:p>
      <w:pPr>
        <w:spacing w:before="80" w:after="0"/>
        <w:ind w:left="0"/>
        <w:jc w:val="left"/>
        <w:textAlignment w:val="auto"/>
      </w:pPr>
      <w:r>
        <w:rPr>
          <w:rFonts w:ascii="Times New Roman"/>
          <w:b/>
          <w:i w:val="false"/>
          <w:color w:val="000000"/>
          <w:sz w:val="24"/>
          <w:lang w:val="pl-PL"/>
        </w:rPr>
        <w:t xml:space="preserve"> Art. 40a. </w:t>
      </w:r>
      <w:r>
        <w:rPr>
          <w:rFonts w:ascii="Times New Roman"/>
          <w:b/>
          <w:i w:val="false"/>
          <w:color w:val="000000"/>
          <w:sz w:val="24"/>
          <w:vertAlign w:val="superscript"/>
          <w:lang w:val="pl-PL"/>
        </w:rPr>
        <w:t>267</w:t>
      </w:r>
      <w:r>
        <w:rPr>
          <w:rFonts w:ascii="Times New Roman"/>
          <w:b/>
          <w:i w:val="false"/>
          <w:color w:val="000000"/>
          <w:sz w:val="24"/>
          <w:lang w:val="pl-PL"/>
        </w:rPr>
        <w:t xml:space="preserve"> </w:t>
      </w:r>
      <w:r>
        <w:rPr>
          <w:rFonts w:ascii="Times New Roman"/>
          <w:b/>
          <w:i w:val="false"/>
          <w:color w:val="000000"/>
          <w:sz w:val="24"/>
          <w:lang w:val="pl-PL"/>
        </w:rPr>
        <w:t>[Ocena wzajemna]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CSIRT sektorowy i organy właściwe do spraw cyberbezpieczeństwa mogą, w porozumieniu z Pełnomocnikiem, uczestniczyć w procesie oceny wzajemnej, w celu wymiany doświadczeń, zwiększania wzajemnego zaufania pomiędzy organami z różnych państw, osiągnięcia wysokiego, wspólnego poziomu cyberbezpieczeństwa, a także zwiększenia kluczowych zdolności państw członkowskich Unii Europejskiej w zakresie cyberbezpieczeństwa i doskonalenia ich polityki w tej dziedzinie.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Ocena wzajemna jest przeprowadzana przez ekspertów do spraw cyberbezpieczeństwa wyznaczonych na podstawie metodyki obejmującej obiektywne, niedyskryminacyjne, sprawiedliwe i przejrzyste kryteria jako uprawnionych do prowadzenia ocen wzajemnych.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Ocena wzajemna może obejmować: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stopień wdrożenia środków zarządzania ryzykiem w cyberbezpieczeństwie oraz obowiązków dotyczących zgłaszania incydentów;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poziom zdolności, w tym dostępne zasoby finansowe, techniczne i ludzkie, oraz skuteczność wykonywania zadań przez właściwe organy;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zdolność operacyjną CSIRT;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poziom wdrożenia wzajemnej pomocy;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poziom wdrożenia ustaleń dotyczących mechanizmów wymiany informacji na temat cyberbezpieczeństwa;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szczególne zagadnienia transgraniczne lub międzysektorowe.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ramach procesu oceny wzajemnej podmioty, o których mowa w ust. 1, mogą przekazywać wyznaczonym przez inne państwa członkowskie Unii Europejskiej ekspertom do spraw cyberbezpieczeństwa informacje dotyczące funkcjonowania tych podmiotów, z uwzględnieniem przepisów o tajemnicach prawnie chronionych.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Pełnomocnik może wskazać innym państwom członkowskim Unii Europejskiej uczestniczącym w ocenie wzajemnej szczególne zagadnienia transgraniczne lub międzysektorowe, które należy uwzględnić w ocenie wzajemnej.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Pełnomocnik informuje inne państwa członkowskie Unii Europejskiej uczestniczące w ocenie wzajemnej o zakresie oceny wzajemnej przeprowadzanej w Rzeczypospolitej Polskiej.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porozumieniu z Pełnomocnikiem podmioty, o których mowa w ust. 1, mogą przeprowadzić ocenę, o której mowa w ust. 3, dotyczącą krajowego systemu cyberbezpieczeństwa i przedstawić jej wyniki ekspertom z innych państw uczestniczących w ocenie wzajemnej. Ocenę tę przeprowadza się zgodnie z metodyką przyjętą przez Grupę Współpracy.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Oceny wzajemnej nie przeprowadza się w terminie 2 lat od sporządzenia sprawozdania z poprzedniej oceny wzajemnej, jeżeli dotyczy tego samego zakresu. Ocena wzajemna dotycząca tego samego zakresu może być przeprowadzona, jeżeli Pełnomocnik zwróci się o to do innego państwa członkowskiego Unii Europejskiej lub państwa członkowskie Unii Europejskiej uzgodnią to w ramach Grupy Współpracy.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Pełnomocnik może sprzeciwić się przeprowadzeniu oceny wzajemnej przez konkretnych ekspertów z innego państwa członkowskiego Unii Europejskiej, jeżeli występuje konflikt interesów.</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Eksperci do spraw cyberbezpieczeństwa, wyznaczeni przez podmioty, o których mowa w ust. 1, uczestniczący w ocenie wzajemnej sporządzają sprawozdanie z oceny wzajemnej, które zatwierdza Pełnomocnik. Sprawozdanie zawiera podsumowanie czynności podjętych w ramach oceny wzajemnej oraz zalecenia. Sprawozdanie udostępnia się innym państwom członkowskim Unii Europejskiej uczestniczącym w ocenie wzajemnej oraz organom właściwym do spraw cyberbezpieczeństwa, CSIRT MON, CSIRT NASK i CSIRT GOV.</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Pełnomocnik może udostępnić sprawozdanie Grupie Współpracy lub Sieci CSIRT. Sprawozdanie to może zostać opublikowane w Biuletynie Informacji Publicznej Pełnomocnika w zakresie, w jakim nie zawiera informacji stanowiących tajemnice prawnie chronione.</w:t>
      </w:r>
    </w:p>
    <w:p>
      <w:pPr>
        <w:spacing w:before="89" w:after="0"/>
        <w:ind w:left="0"/>
        <w:jc w:val="center"/>
        <w:textAlignment w:val="auto"/>
      </w:pPr>
      <w:r>
        <w:rPr>
          <w:rFonts w:ascii="Times New Roman"/>
          <w:b/>
          <w:i w:val="false"/>
          <w:color w:val="000000"/>
          <w:sz w:val="24"/>
          <w:lang w:val="pl-PL"/>
        </w:rPr>
        <w:t>Rozdział 8</w:t>
      </w:r>
    </w:p>
    <w:p>
      <w:pPr>
        <w:spacing w:before="25" w:after="0"/>
        <w:ind w:left="0"/>
        <w:jc w:val="center"/>
        <w:textAlignment w:val="auto"/>
      </w:pPr>
      <w:r>
        <w:rPr>
          <w:rFonts w:ascii="Times New Roman"/>
          <w:b/>
          <w:i w:val="false"/>
          <w:color w:val="000000"/>
          <w:sz w:val="24"/>
          <w:lang w:val="pl-PL"/>
        </w:rPr>
        <w:t>Organy właściwe do spraw cyberbezpieczeństwa</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[Katalog organów właściwych do spraw cyberbezpieczeństwa]</w:t>
      </w:r>
    </w:p>
    <w:p>
      <w:pPr>
        <w:spacing w:after="0"/>
        <w:ind w:left="0"/>
        <w:jc w:val="left"/>
        <w:textAlignment w:val="auto"/>
      </w:pPr>
      <w:r>
        <w:rPr>
          <w:rFonts w:ascii="Times New Roman"/>
          <w:b w:val="false"/>
          <w:i w:val="false"/>
          <w:color w:val="000000"/>
          <w:sz w:val="24"/>
          <w:lang w:val="pl-PL"/>
        </w:rPr>
        <w:t>Organami właściwymi do spraw cyberbezpieczeństwa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dla sektora energii - minister właściwy do spraw energii;</w:t>
      </w: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268</w:t>
      </w:r>
      <w:r>
        <w:rPr>
          <w:rFonts w:ascii="Times New Roman"/>
          <w:b w:val="false"/>
          <w:i w:val="false"/>
          <w:color w:val="000000"/>
          <w:sz w:val="24"/>
          <w:lang w:val="pl-PL"/>
        </w:rPr>
        <w:t xml:space="preserve"> </w:t>
      </w:r>
      <w:r>
        <w:rPr>
          <w:rFonts w:ascii="Times New Roman"/>
          <w:b w:val="false"/>
          <w:i w:val="false"/>
          <w:color w:val="000000"/>
          <w:sz w:val="24"/>
          <w:lang w:val="pl-PL"/>
        </w:rPr>
        <w:t>dla sektora inwestycji energii jądrowej - minister właściwy do spraw energii;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dla sektora transportu z wyłączeniem podsektora transportu wodnego - minister właściwy do spraw transportu;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dla podsektora transportu wodnego - minister właściwy do spraw gospodarki morskiej i minister właściwy do spraw żeglugi śródlądowej;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dla sektora bankowego i infrastruktury rynków finansowych - Komisja Nadzoru Finansowego;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269</w:t>
      </w:r>
      <w:r>
        <w:rPr>
          <w:rFonts w:ascii="Times New Roman"/>
          <w:b w:val="false"/>
          <w:i w:val="false"/>
          <w:color w:val="000000"/>
          <w:sz w:val="24"/>
          <w:lang w:val="pl-PL"/>
        </w:rPr>
        <w:t xml:space="preserve"> </w:t>
      </w:r>
      <w:r>
        <w:rPr>
          <w:rFonts w:ascii="Times New Roman"/>
          <w:b w:val="false"/>
          <w:i w:val="false"/>
          <w:color w:val="000000"/>
          <w:sz w:val="24"/>
          <w:lang w:val="pl-PL"/>
        </w:rPr>
        <w:t>dla sektora ochrony zdrowia z wyłączeniem podmiotów, o których mowa w art. 26 ust. 5 pkt 1 - minister właściwy do spraw zdrowia;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270</w:t>
      </w:r>
      <w:r>
        <w:rPr>
          <w:rFonts w:ascii="Times New Roman"/>
          <w:b w:val="false"/>
          <w:i w:val="false"/>
          <w:color w:val="000000"/>
          <w:sz w:val="24"/>
          <w:lang w:val="pl-PL"/>
        </w:rPr>
        <w:t xml:space="preserve"> </w:t>
      </w:r>
      <w:r>
        <w:rPr>
          <w:rFonts w:ascii="Times New Roman"/>
          <w:b w:val="false"/>
          <w:i w:val="false"/>
          <w:color w:val="000000"/>
          <w:sz w:val="24"/>
          <w:lang w:val="pl-PL"/>
        </w:rPr>
        <w:t>dla sektora ochrony zdrowia obejmującego podmioty, o których mowa w art. 26 ust. 5 pkt 1 - Minister Obrony Narodowej;</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dla sektora zaopatrzenia w wodę pitną i jej dystrybucji - minister właściwy do spraw gospodarki wodnej;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271</w:t>
      </w:r>
      <w:r>
        <w:rPr>
          <w:rFonts w:ascii="Times New Roman"/>
          <w:b w:val="false"/>
          <w:i w:val="false"/>
          <w:color w:val="000000"/>
          <w:sz w:val="24"/>
          <w:lang w:val="pl-PL"/>
        </w:rPr>
        <w:t xml:space="preserve"> </w:t>
      </w:r>
      <w:r>
        <w:rPr>
          <w:rFonts w:ascii="Times New Roman"/>
          <w:b w:val="false"/>
          <w:i w:val="false"/>
          <w:color w:val="000000"/>
          <w:sz w:val="24"/>
          <w:lang w:val="pl-PL"/>
        </w:rPr>
        <w:t>dla sektora infrastruktury cyfrowej z wyłączeniem podmiotów, o których mowa w art. 26 ust. 5 pkt 1, oraz z wyłączeniem podsektora komunikacji elektronicznej - minister właściwy do spraw informatyzacji;</w:t>
      </w:r>
    </w:p>
    <w:p>
      <w:pPr>
        <w:spacing w:before="26" w:after="0"/>
        <w:ind w:left="373"/>
        <w:jc w:val="left"/>
        <w:textAlignment w:val="auto"/>
      </w:pPr>
      <w:r>
        <w:rPr>
          <w:rFonts w:ascii="Times New Roman"/>
          <w:b w:val="false"/>
          <w:i w:val="false"/>
          <w:color w:val="000000"/>
          <w:sz w:val="24"/>
          <w:lang w:val="pl-PL"/>
        </w:rPr>
        <w:t xml:space="preserve">8a) </w:t>
      </w:r>
      <w:r>
        <w:rPr>
          <w:rFonts w:ascii="Times New Roman"/>
          <w:b w:val="false"/>
          <w:i w:val="false"/>
          <w:color w:val="000000"/>
          <w:sz w:val="24"/>
          <w:vertAlign w:val="superscript"/>
          <w:lang w:val="pl-PL"/>
        </w:rPr>
        <w:t>272</w:t>
      </w:r>
      <w:r>
        <w:rPr>
          <w:rFonts w:ascii="Times New Roman"/>
          <w:b w:val="false"/>
          <w:i w:val="false"/>
          <w:color w:val="000000"/>
          <w:sz w:val="24"/>
          <w:lang w:val="pl-PL"/>
        </w:rPr>
        <w:t xml:space="preserve"> </w:t>
      </w:r>
      <w:r>
        <w:rPr>
          <w:rFonts w:ascii="Times New Roman"/>
          <w:b w:val="false"/>
          <w:i w:val="false"/>
          <w:color w:val="000000"/>
          <w:sz w:val="24"/>
          <w:lang w:val="pl-PL"/>
        </w:rPr>
        <w:t>dla podsektora komunikacji elektronicznej, z wyłączeniem podmiotów, o których mowa w art. 26 ust. 5 pkt 1 - Prezes Urzędu Komunikacji Elektronicznej;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273</w:t>
      </w:r>
      <w:r>
        <w:rPr>
          <w:rFonts w:ascii="Times New Roman"/>
          <w:b w:val="false"/>
          <w:i w:val="false"/>
          <w:color w:val="000000"/>
          <w:sz w:val="24"/>
          <w:lang w:val="pl-PL"/>
        </w:rPr>
        <w:t xml:space="preserve"> </w:t>
      </w:r>
      <w:r>
        <w:rPr>
          <w:rFonts w:ascii="Times New Roman"/>
          <w:b w:val="false"/>
          <w:i w:val="false"/>
          <w:color w:val="000000"/>
          <w:sz w:val="24"/>
          <w:lang w:val="pl-PL"/>
        </w:rPr>
        <w:t>dla sektora infrastruktury cyfrowej obejmującego podmioty, o których mowa w art. 26 ust. 5 pkt 1 - Minister Obrony Narodowej;</w:t>
      </w:r>
    </w:p>
    <w:p>
      <w:pPr>
        <w:spacing w:before="26" w:after="0"/>
        <w:ind w:left="373"/>
        <w:jc w:val="left"/>
        <w:textAlignment w:val="auto"/>
      </w:pPr>
      <w:r>
        <w:rPr>
          <w:rFonts w:ascii="Times New Roman"/>
          <w:b w:val="false"/>
          <w:i w:val="false"/>
          <w:color w:val="000000"/>
          <w:sz w:val="24"/>
          <w:lang w:val="pl-PL"/>
        </w:rPr>
        <w:t xml:space="preserve">9a) </w:t>
      </w:r>
      <w:r>
        <w:rPr>
          <w:rFonts w:ascii="Times New Roman"/>
          <w:b w:val="false"/>
          <w:i w:val="false"/>
          <w:color w:val="000000"/>
          <w:sz w:val="24"/>
          <w:vertAlign w:val="superscript"/>
          <w:lang w:val="pl-PL"/>
        </w:rPr>
        <w:t>274</w:t>
      </w:r>
      <w:r>
        <w:rPr>
          <w:rFonts w:ascii="Times New Roman"/>
          <w:b w:val="false"/>
          <w:i w:val="false"/>
          <w:color w:val="000000"/>
          <w:sz w:val="24"/>
          <w:lang w:val="pl-PL"/>
        </w:rPr>
        <w:t xml:space="preserve"> </w:t>
      </w:r>
      <w:r>
        <w:rPr>
          <w:rFonts w:ascii="Times New Roman"/>
          <w:b w:val="false"/>
          <w:i w:val="false"/>
          <w:color w:val="000000"/>
          <w:sz w:val="24"/>
          <w:lang w:val="pl-PL"/>
        </w:rPr>
        <w:t>dla sektora zbiorowego odprowadzania ścieków - minister właściwy do spraw gospodarki wodnej;</w:t>
      </w:r>
    </w:p>
    <w:p>
      <w:pPr>
        <w:spacing w:before="26" w:after="0"/>
        <w:ind w:left="373"/>
        <w:jc w:val="left"/>
        <w:textAlignment w:val="auto"/>
      </w:pPr>
      <w:r>
        <w:rPr>
          <w:rFonts w:ascii="Times New Roman"/>
          <w:b w:val="false"/>
          <w:i w:val="false"/>
          <w:color w:val="000000"/>
          <w:sz w:val="24"/>
          <w:lang w:val="pl-PL"/>
        </w:rPr>
        <w:t xml:space="preserve">9b) </w:t>
      </w:r>
      <w:r>
        <w:rPr>
          <w:rFonts w:ascii="Times New Roman"/>
          <w:b w:val="false"/>
          <w:i w:val="false"/>
          <w:color w:val="000000"/>
          <w:sz w:val="24"/>
          <w:vertAlign w:val="superscript"/>
          <w:lang w:val="pl-PL"/>
        </w:rPr>
        <w:t>275</w:t>
      </w:r>
      <w:r>
        <w:rPr>
          <w:rFonts w:ascii="Times New Roman"/>
          <w:b w:val="false"/>
          <w:i w:val="false"/>
          <w:color w:val="000000"/>
          <w:sz w:val="24"/>
          <w:lang w:val="pl-PL"/>
        </w:rPr>
        <w:t xml:space="preserve"> </w:t>
      </w:r>
      <w:r>
        <w:rPr>
          <w:rFonts w:ascii="Times New Roman"/>
          <w:b w:val="false"/>
          <w:i w:val="false"/>
          <w:color w:val="000000"/>
          <w:sz w:val="24"/>
          <w:lang w:val="pl-PL"/>
        </w:rPr>
        <w:t>dla sektora zarządzania usług ICT - minister właściwy do spraw informatyzacji;</w:t>
      </w:r>
    </w:p>
    <w:p>
      <w:pPr>
        <w:spacing w:before="26" w:after="0"/>
        <w:ind w:left="373"/>
        <w:jc w:val="left"/>
        <w:textAlignment w:val="auto"/>
      </w:pPr>
      <w:r>
        <w:rPr>
          <w:rFonts w:ascii="Times New Roman"/>
          <w:b w:val="false"/>
          <w:i w:val="false"/>
          <w:color w:val="000000"/>
          <w:sz w:val="24"/>
          <w:lang w:val="pl-PL"/>
        </w:rPr>
        <w:t xml:space="preserve">9c) </w:t>
      </w:r>
      <w:r>
        <w:rPr>
          <w:rFonts w:ascii="Times New Roman"/>
          <w:b w:val="false"/>
          <w:i w:val="false"/>
          <w:color w:val="000000"/>
          <w:sz w:val="24"/>
          <w:vertAlign w:val="superscript"/>
          <w:lang w:val="pl-PL"/>
        </w:rPr>
        <w:t>276</w:t>
      </w:r>
      <w:r>
        <w:rPr>
          <w:rFonts w:ascii="Times New Roman"/>
          <w:b w:val="false"/>
          <w:i w:val="false"/>
          <w:color w:val="000000"/>
          <w:sz w:val="24"/>
          <w:lang w:val="pl-PL"/>
        </w:rPr>
        <w:t xml:space="preserve"> </w:t>
      </w:r>
      <w:r>
        <w:rPr>
          <w:rFonts w:ascii="Times New Roman"/>
          <w:b w:val="false"/>
          <w:i w:val="false"/>
          <w:color w:val="000000"/>
          <w:sz w:val="24"/>
          <w:lang w:val="pl-PL"/>
        </w:rPr>
        <w:t>dla sektora przestrzeni kosmicznej - minister właściwy do spraw gospodarki;</w:t>
      </w:r>
    </w:p>
    <w:p>
      <w:pPr>
        <w:spacing w:before="26" w:after="0"/>
        <w:ind w:left="373"/>
        <w:jc w:val="left"/>
        <w:textAlignment w:val="auto"/>
      </w:pPr>
      <w:r>
        <w:rPr>
          <w:rFonts w:ascii="Times New Roman"/>
          <w:b w:val="false"/>
          <w:i w:val="false"/>
          <w:color w:val="000000"/>
          <w:sz w:val="24"/>
          <w:lang w:val="pl-PL"/>
        </w:rPr>
        <w:t xml:space="preserve">9d) </w:t>
      </w:r>
      <w:r>
        <w:rPr>
          <w:rFonts w:ascii="Times New Roman"/>
          <w:b w:val="false"/>
          <w:i w:val="false"/>
          <w:color w:val="000000"/>
          <w:sz w:val="24"/>
          <w:vertAlign w:val="superscript"/>
          <w:lang w:val="pl-PL"/>
        </w:rPr>
        <w:t>277</w:t>
      </w:r>
      <w:r>
        <w:rPr>
          <w:rFonts w:ascii="Times New Roman"/>
          <w:b w:val="false"/>
          <w:i w:val="false"/>
          <w:color w:val="000000"/>
          <w:sz w:val="24"/>
          <w:lang w:val="pl-PL"/>
        </w:rPr>
        <w:t xml:space="preserve"> </w:t>
      </w:r>
      <w:r>
        <w:rPr>
          <w:rFonts w:ascii="Times New Roman"/>
          <w:b w:val="false"/>
          <w:i w:val="false"/>
          <w:color w:val="000000"/>
          <w:sz w:val="24"/>
          <w:lang w:val="pl-PL"/>
        </w:rPr>
        <w:t>dla sektora produkcji, wytwarzania i dystrybucji chemikaliów - minister właściwy do spraw gospodarki;</w:t>
      </w:r>
    </w:p>
    <w:p>
      <w:pPr>
        <w:spacing w:before="26" w:after="0"/>
        <w:ind w:left="373"/>
        <w:jc w:val="left"/>
        <w:textAlignment w:val="auto"/>
      </w:pPr>
      <w:r>
        <w:rPr>
          <w:rFonts w:ascii="Times New Roman"/>
          <w:b w:val="false"/>
          <w:i w:val="false"/>
          <w:color w:val="000000"/>
          <w:sz w:val="24"/>
          <w:lang w:val="pl-PL"/>
        </w:rPr>
        <w:t xml:space="preserve">9e) </w:t>
      </w:r>
      <w:r>
        <w:rPr>
          <w:rFonts w:ascii="Times New Roman"/>
          <w:b w:val="false"/>
          <w:i w:val="false"/>
          <w:color w:val="000000"/>
          <w:sz w:val="24"/>
          <w:vertAlign w:val="superscript"/>
          <w:lang w:val="pl-PL"/>
        </w:rPr>
        <w:t>278</w:t>
      </w:r>
      <w:r>
        <w:rPr>
          <w:rFonts w:ascii="Times New Roman"/>
          <w:b w:val="false"/>
          <w:i w:val="false"/>
          <w:color w:val="000000"/>
          <w:sz w:val="24"/>
          <w:lang w:val="pl-PL"/>
        </w:rPr>
        <w:t xml:space="preserve"> </w:t>
      </w:r>
      <w:r>
        <w:rPr>
          <w:rFonts w:ascii="Times New Roman"/>
          <w:b w:val="false"/>
          <w:i w:val="false"/>
          <w:color w:val="000000"/>
          <w:sz w:val="24"/>
          <w:lang w:val="pl-PL"/>
        </w:rPr>
        <w:t>dla sektora produkcji, przetwarzania i dystrybucji żywności - minister właściwy do spraw rolnictwa;</w:t>
      </w:r>
    </w:p>
    <w:p>
      <w:pPr>
        <w:spacing w:before="26" w:after="0"/>
        <w:ind w:left="373"/>
        <w:jc w:val="left"/>
        <w:textAlignment w:val="auto"/>
      </w:pPr>
      <w:r>
        <w:rPr>
          <w:rFonts w:ascii="Times New Roman"/>
          <w:b w:val="false"/>
          <w:i w:val="false"/>
          <w:color w:val="000000"/>
          <w:sz w:val="24"/>
          <w:lang w:val="pl-PL"/>
        </w:rPr>
        <w:t xml:space="preserve">9f) </w:t>
      </w:r>
      <w:r>
        <w:rPr>
          <w:rFonts w:ascii="Times New Roman"/>
          <w:b w:val="false"/>
          <w:i w:val="false"/>
          <w:color w:val="000000"/>
          <w:sz w:val="24"/>
          <w:vertAlign w:val="superscript"/>
          <w:lang w:val="pl-PL"/>
        </w:rPr>
        <w:t>279</w:t>
      </w:r>
      <w:r>
        <w:rPr>
          <w:rFonts w:ascii="Times New Roman"/>
          <w:b w:val="false"/>
          <w:i w:val="false"/>
          <w:color w:val="000000"/>
          <w:sz w:val="24"/>
          <w:lang w:val="pl-PL"/>
        </w:rPr>
        <w:t xml:space="preserve"> </w:t>
      </w:r>
      <w:r>
        <w:rPr>
          <w:rFonts w:ascii="Times New Roman"/>
          <w:b w:val="false"/>
          <w:i w:val="false"/>
          <w:color w:val="000000"/>
          <w:sz w:val="24"/>
          <w:lang w:val="pl-PL"/>
        </w:rPr>
        <w:t>dla sektora produkcji, z wyłączeniem podsektora produkcja wyrobów medycznych i wyrobów medycznych do diagnostyki in vitro - minister właściwy do spraw gospodarki;</w:t>
      </w:r>
    </w:p>
    <w:p>
      <w:pPr>
        <w:spacing w:before="26" w:after="0"/>
        <w:ind w:left="373"/>
        <w:jc w:val="left"/>
        <w:textAlignment w:val="auto"/>
      </w:pPr>
      <w:r>
        <w:rPr>
          <w:rFonts w:ascii="Times New Roman"/>
          <w:b w:val="false"/>
          <w:i w:val="false"/>
          <w:color w:val="000000"/>
          <w:sz w:val="24"/>
          <w:lang w:val="pl-PL"/>
        </w:rPr>
        <w:t xml:space="preserve">9g) </w:t>
      </w:r>
      <w:r>
        <w:rPr>
          <w:rFonts w:ascii="Times New Roman"/>
          <w:b w:val="false"/>
          <w:i w:val="false"/>
          <w:color w:val="000000"/>
          <w:sz w:val="24"/>
          <w:vertAlign w:val="superscript"/>
          <w:lang w:val="pl-PL"/>
        </w:rPr>
        <w:t>280</w:t>
      </w:r>
      <w:r>
        <w:rPr>
          <w:rFonts w:ascii="Times New Roman"/>
          <w:b w:val="false"/>
          <w:i w:val="false"/>
          <w:color w:val="000000"/>
          <w:sz w:val="24"/>
          <w:lang w:val="pl-PL"/>
        </w:rPr>
        <w:t xml:space="preserve"> </w:t>
      </w:r>
      <w:r>
        <w:rPr>
          <w:rFonts w:ascii="Times New Roman"/>
          <w:b w:val="false"/>
          <w:i w:val="false"/>
          <w:color w:val="000000"/>
          <w:sz w:val="24"/>
          <w:lang w:val="pl-PL"/>
        </w:rPr>
        <w:t>dla podsektora produkcji wyrobów medycznych i wyrobów medycznych do diagnostyki in vitro - minister właściwy do spraw zdrowia;</w:t>
      </w:r>
    </w:p>
    <w:p>
      <w:pPr>
        <w:spacing w:before="26" w:after="0"/>
        <w:ind w:left="373"/>
        <w:jc w:val="left"/>
        <w:textAlignment w:val="auto"/>
      </w:pPr>
      <w:r>
        <w:rPr>
          <w:rFonts w:ascii="Times New Roman"/>
          <w:b w:val="false"/>
          <w:i w:val="false"/>
          <w:color w:val="000000"/>
          <w:sz w:val="24"/>
          <w:lang w:val="pl-PL"/>
        </w:rPr>
        <w:t xml:space="preserve">9h) </w:t>
      </w:r>
      <w:r>
        <w:rPr>
          <w:rFonts w:ascii="Times New Roman"/>
          <w:b w:val="false"/>
          <w:i w:val="false"/>
          <w:color w:val="000000"/>
          <w:sz w:val="24"/>
          <w:vertAlign w:val="superscript"/>
          <w:lang w:val="pl-PL"/>
        </w:rPr>
        <w:t>281</w:t>
      </w:r>
      <w:r>
        <w:rPr>
          <w:rFonts w:ascii="Times New Roman"/>
          <w:b w:val="false"/>
          <w:i w:val="false"/>
          <w:color w:val="000000"/>
          <w:sz w:val="24"/>
          <w:lang w:val="pl-PL"/>
        </w:rPr>
        <w:t xml:space="preserve"> </w:t>
      </w:r>
      <w:r>
        <w:rPr>
          <w:rFonts w:ascii="Times New Roman"/>
          <w:b w:val="false"/>
          <w:i w:val="false"/>
          <w:color w:val="000000"/>
          <w:sz w:val="24"/>
          <w:lang w:val="pl-PL"/>
        </w:rPr>
        <w:t>dla sektora usług pocztowych - Prezes Urzędu Komunikacji Elektronicznej;</w:t>
      </w:r>
    </w:p>
    <w:p>
      <w:pPr>
        <w:spacing w:before="26" w:after="0"/>
        <w:ind w:left="373"/>
        <w:jc w:val="left"/>
        <w:textAlignment w:val="auto"/>
      </w:pPr>
      <w:r>
        <w:rPr>
          <w:rFonts w:ascii="Times New Roman"/>
          <w:b w:val="false"/>
          <w:i w:val="false"/>
          <w:color w:val="000000"/>
          <w:sz w:val="24"/>
          <w:lang w:val="pl-PL"/>
        </w:rPr>
        <w:t xml:space="preserve">9i) </w:t>
      </w:r>
      <w:r>
        <w:rPr>
          <w:rFonts w:ascii="Times New Roman"/>
          <w:b w:val="false"/>
          <w:i w:val="false"/>
          <w:color w:val="000000"/>
          <w:sz w:val="24"/>
          <w:vertAlign w:val="superscript"/>
          <w:lang w:val="pl-PL"/>
        </w:rPr>
        <w:t>282</w:t>
      </w:r>
      <w:r>
        <w:rPr>
          <w:rFonts w:ascii="Times New Roman"/>
          <w:b w:val="false"/>
          <w:i w:val="false"/>
          <w:color w:val="000000"/>
          <w:sz w:val="24"/>
          <w:lang w:val="pl-PL"/>
        </w:rPr>
        <w:t xml:space="preserve"> </w:t>
      </w:r>
      <w:r>
        <w:rPr>
          <w:rFonts w:ascii="Times New Roman"/>
          <w:b w:val="false"/>
          <w:i w:val="false"/>
          <w:color w:val="000000"/>
          <w:sz w:val="24"/>
          <w:lang w:val="pl-PL"/>
        </w:rPr>
        <w:t>dla sektora gospodarowania odpadami - minister właściwy do spraw klimatu;</w:t>
      </w:r>
    </w:p>
    <w:p>
      <w:pPr>
        <w:spacing w:before="26" w:after="0"/>
        <w:ind w:left="373"/>
        <w:jc w:val="left"/>
        <w:textAlignment w:val="auto"/>
      </w:pPr>
      <w:r>
        <w:rPr>
          <w:rFonts w:ascii="Times New Roman"/>
          <w:b w:val="false"/>
          <w:i w:val="false"/>
          <w:color w:val="000000"/>
          <w:sz w:val="24"/>
          <w:lang w:val="pl-PL"/>
        </w:rPr>
        <w:t xml:space="preserve">9j) </w:t>
      </w:r>
      <w:r>
        <w:rPr>
          <w:rFonts w:ascii="Times New Roman"/>
          <w:b w:val="false"/>
          <w:i w:val="false"/>
          <w:color w:val="000000"/>
          <w:sz w:val="24"/>
          <w:vertAlign w:val="superscript"/>
          <w:lang w:val="pl-PL"/>
        </w:rPr>
        <w:t>283</w:t>
      </w:r>
      <w:r>
        <w:rPr>
          <w:rFonts w:ascii="Times New Roman"/>
          <w:b w:val="false"/>
          <w:i w:val="false"/>
          <w:color w:val="000000"/>
          <w:sz w:val="24"/>
          <w:lang w:val="pl-PL"/>
        </w:rPr>
        <w:t xml:space="preserve"> </w:t>
      </w:r>
      <w:r>
        <w:rPr>
          <w:rFonts w:ascii="Times New Roman"/>
          <w:b w:val="false"/>
          <w:i w:val="false"/>
          <w:color w:val="000000"/>
          <w:sz w:val="24"/>
          <w:lang w:val="pl-PL"/>
        </w:rPr>
        <w:t>dla sektora dostawców usług cyfrowych - minister właściwy do spraw informatyzacji;</w:t>
      </w:r>
    </w:p>
    <w:p>
      <w:pPr>
        <w:spacing w:before="26" w:after="0"/>
        <w:ind w:left="373"/>
        <w:jc w:val="left"/>
        <w:textAlignment w:val="auto"/>
      </w:pPr>
      <w:r>
        <w:rPr>
          <w:rFonts w:ascii="Times New Roman"/>
          <w:b w:val="false"/>
          <w:i w:val="false"/>
          <w:color w:val="000000"/>
          <w:sz w:val="24"/>
          <w:lang w:val="pl-PL"/>
        </w:rPr>
        <w:t xml:space="preserve">9k) </w:t>
      </w:r>
      <w:r>
        <w:rPr>
          <w:rFonts w:ascii="Times New Roman"/>
          <w:b w:val="false"/>
          <w:i w:val="false"/>
          <w:color w:val="000000"/>
          <w:sz w:val="24"/>
          <w:vertAlign w:val="superscript"/>
          <w:lang w:val="pl-PL"/>
        </w:rPr>
        <w:t>284</w:t>
      </w:r>
      <w:r>
        <w:rPr>
          <w:rFonts w:ascii="Times New Roman"/>
          <w:b w:val="false"/>
          <w:i w:val="false"/>
          <w:color w:val="000000"/>
          <w:sz w:val="24"/>
          <w:lang w:val="pl-PL"/>
        </w:rPr>
        <w:t xml:space="preserve"> </w:t>
      </w:r>
      <w:r>
        <w:rPr>
          <w:rFonts w:ascii="Times New Roman"/>
          <w:b w:val="false"/>
          <w:i w:val="false"/>
          <w:color w:val="000000"/>
          <w:sz w:val="24"/>
          <w:lang w:val="pl-PL"/>
        </w:rPr>
        <w:t>dla sektora badań naukowych, z wyłączeniem podmiotów, o których mowa w art. 26 ust. 5 pkt 1 - minister właściwy do spraw szkolnictwa wyższego i nauki;</w:t>
      </w:r>
    </w:p>
    <w:p>
      <w:pPr>
        <w:spacing w:before="26" w:after="0"/>
        <w:ind w:left="373"/>
        <w:jc w:val="left"/>
        <w:textAlignment w:val="auto"/>
      </w:pPr>
      <w:r>
        <w:rPr>
          <w:rFonts w:ascii="Times New Roman"/>
          <w:b w:val="false"/>
          <w:i w:val="false"/>
          <w:color w:val="000000"/>
          <w:sz w:val="24"/>
          <w:lang w:val="pl-PL"/>
        </w:rPr>
        <w:t xml:space="preserve">9l) </w:t>
      </w:r>
      <w:r>
        <w:rPr>
          <w:rFonts w:ascii="Times New Roman"/>
          <w:b w:val="false"/>
          <w:i w:val="false"/>
          <w:color w:val="000000"/>
          <w:sz w:val="24"/>
          <w:vertAlign w:val="superscript"/>
          <w:lang w:val="pl-PL"/>
        </w:rPr>
        <w:t>285</w:t>
      </w:r>
      <w:r>
        <w:rPr>
          <w:rFonts w:ascii="Times New Roman"/>
          <w:b w:val="false"/>
          <w:i w:val="false"/>
          <w:color w:val="000000"/>
          <w:sz w:val="24"/>
          <w:lang w:val="pl-PL"/>
        </w:rPr>
        <w:t xml:space="preserve"> </w:t>
      </w:r>
      <w:r>
        <w:rPr>
          <w:rFonts w:ascii="Times New Roman"/>
          <w:b w:val="false"/>
          <w:i w:val="false"/>
          <w:color w:val="000000"/>
          <w:sz w:val="24"/>
          <w:lang w:val="pl-PL"/>
        </w:rPr>
        <w:t>dla sektora badań naukowych obejmującego podmioty, o których mowa w art. 26 ust. 5 pkt 1 - Minister Obrony Narodowej.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286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287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41a. </w:t>
      </w:r>
      <w:r>
        <w:rPr>
          <w:rFonts w:ascii="Times New Roman"/>
          <w:b/>
          <w:i w:val="false"/>
          <w:color w:val="000000"/>
          <w:sz w:val="24"/>
          <w:vertAlign w:val="superscript"/>
          <w:lang w:val="pl-PL"/>
        </w:rPr>
        <w:t>288</w:t>
      </w:r>
      <w:r>
        <w:rPr>
          <w:rFonts w:ascii="Times New Roman"/>
          <w:b/>
          <w:i w:val="false"/>
          <w:color w:val="000000"/>
          <w:sz w:val="24"/>
          <w:lang w:val="pl-PL"/>
        </w:rPr>
        <w:t xml:space="preserve"> </w:t>
      </w:r>
      <w:r>
        <w:rPr>
          <w:rFonts w:ascii="Times New Roman"/>
          <w:b/>
          <w:i w:val="false"/>
          <w:color w:val="000000"/>
          <w:sz w:val="24"/>
          <w:lang w:val="pl-PL"/>
        </w:rPr>
        <w:t>[Organy właściwe do spraw cyberbezpieczeństwa w sektorze podmiotów publicznych]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właściwym do spraw cyberbezpieczeństwa w sektorze podmiotów publicznych, z wyłączeniem podmiotów podległych Ministrowi Obrony Narodowej lub przez niego nadzorowanych oraz urzędu obsługującego tego ministra, jest minister właściwy do spraw informatyzacji.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Organem właściwym do spraw cyberbezpieczeństwa w sektorze podmiotów publicznych dla podmiotów podległych Ministrowi Obrony Narodowej lub przez niego nadzorowanych oraz dla urzędu obsługującego tego ministra jest Minister Obrony Narodowej.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Organem właściwym do spraw cyberbezpieczeństwa w sektorze podmiotów publicznych dla jednostek organizacyjnych podległych ministrowi właściwemu do spraw finansów publicznych lub przez niego nadzorowanych, urzędu obsługującego tego ministra oraz spółki, o której mowa w </w:t>
      </w:r>
      <w:r>
        <w:rPr>
          <w:rFonts w:ascii="Times New Roman"/>
          <w:b w:val="false"/>
          <w:i w:val="false"/>
          <w:color w:val="1b1b1b"/>
          <w:sz w:val="24"/>
          <w:lang w:val="pl-PL"/>
        </w:rPr>
        <w:t>art. 2 ust. 1</w:t>
      </w:r>
      <w:r>
        <w:rPr>
          <w:rFonts w:ascii="Times New Roman"/>
          <w:b w:val="false"/>
          <w:i w:val="false"/>
          <w:color w:val="000000"/>
          <w:sz w:val="24"/>
          <w:lang w:val="pl-PL"/>
        </w:rPr>
        <w:t xml:space="preserve"> ustawy z dnia 29 kwietnia 2016 r. o szczególnych zasadach wykonywania niektórych zadań dotyczących informatyzacji w zakresie działów administracji rządowej budżet i finanse publiczne (Dz. U. z 2025 r. poz. 1642), jest minister właściwy do spraw finansów publicznych.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Dla podmiotu publicznego, który jest wymieniony w innym sektorze niż sektor podmiotów publicznych, organem właściwym do spraw cyberbezpieczeństwa jest organ właściwy dla danego sektora. Przepis nie dotyczy samorządowych podmiotów publicznych.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może powierzyć realizację zadań nadzorczych nad podmiotami kluczowymi w sektorze podmiotów publicznych CSIRT NASK, z wyjątkiem wydawania decyzji administracyjnych. Zadania te są finansowane w ramach dotacji, o której mowa w art. 26 ust. 9. Przepisów art. 42 ust. 3-6 nie stosuje się w tym zakresie.</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[Zadania organów właściwych do spraw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289</w:t>
      </w:r>
      <w:r>
        <w:rPr>
          <w:rFonts w:ascii="Times New Roman"/>
          <w:b w:val="false"/>
          <w:i w:val="false"/>
          <w:color w:val="000000"/>
          <w:sz w:val="24"/>
          <w:lang w:val="pl-PL"/>
        </w:rPr>
        <w:t xml:space="preserve"> </w:t>
      </w:r>
      <w:r>
        <w:rPr>
          <w:rFonts w:ascii="Times New Roman"/>
          <w:b w:val="false"/>
          <w:i w:val="false"/>
          <w:color w:val="000000"/>
          <w:sz w:val="24"/>
          <w:lang w:val="pl-PL"/>
        </w:rPr>
        <w:t>prowadzi bieżącą analizę podmiotów w danym sektorze lub podsektorze pod kątem uznania ich za podmiot kluczowy lub podmiot ważny;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290</w:t>
      </w:r>
      <w:r>
        <w:rPr>
          <w:rFonts w:ascii="Times New Roman"/>
          <w:b w:val="false"/>
          <w:i w:val="false"/>
          <w:color w:val="000000"/>
          <w:sz w:val="24"/>
          <w:lang w:val="pl-PL"/>
        </w:rPr>
        <w:t xml:space="preserve"> </w:t>
      </w:r>
      <w:r>
        <w:rPr>
          <w:rFonts w:ascii="Times New Roman"/>
          <w:b w:val="false"/>
          <w:i w:val="false"/>
          <w:color w:val="000000"/>
          <w:sz w:val="24"/>
          <w:lang w:val="pl-PL"/>
        </w:rPr>
        <w:t>wpisuje z urzędu podmiot kluczowy lub podmiot ważny do wykazu, jeżeli podmiot ten nie zarejestrował się w tym wykazie;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291</w:t>
      </w:r>
      <w:r>
        <w:rPr>
          <w:rFonts w:ascii="Times New Roman"/>
          <w:b w:val="false"/>
          <w:i w:val="false"/>
          <w:color w:val="000000"/>
          <w:sz w:val="24"/>
          <w:lang w:val="pl-PL"/>
        </w:rPr>
        <w:t xml:space="preserve"> </w:t>
      </w:r>
      <w:r>
        <w:rPr>
          <w:rFonts w:ascii="Times New Roman"/>
          <w:b w:val="false"/>
          <w:i w:val="false"/>
          <w:color w:val="000000"/>
          <w:sz w:val="24"/>
          <w:lang w:val="pl-PL"/>
        </w:rPr>
        <w:t>wydaje decyzję o uznaniu podmiotu za podmiot kluczowy lub podmiot ważny, o której mowa w art. 7l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292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293</w:t>
      </w:r>
      <w:r>
        <w:rPr>
          <w:rFonts w:ascii="Times New Roman"/>
          <w:b w:val="false"/>
          <w:i w:val="false"/>
          <w:color w:val="000000"/>
          <w:sz w:val="24"/>
          <w:lang w:val="pl-PL"/>
        </w:rPr>
        <w:t xml:space="preserve"> </w:t>
      </w:r>
      <w:r>
        <w:rPr>
          <w:rFonts w:ascii="Times New Roman"/>
          <w:b w:val="false"/>
          <w:i w:val="false"/>
          <w:color w:val="000000"/>
          <w:sz w:val="24"/>
          <w:lang w:val="pl-PL"/>
        </w:rPr>
        <w:t>przygotowuje we współpracy z CSIRT NASK, CSIRT GOV, CSIRT MON i CSIRT sektorowymi rekomendacje dotyczące działań mających na celu wzmocnienie cyberbezpieczeństwa, w tym wytyczne sektorowe dotyczące zgłaszania incydentów;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294</w:t>
      </w:r>
      <w:r>
        <w:rPr>
          <w:rFonts w:ascii="Times New Roman"/>
          <w:b w:val="false"/>
          <w:i w:val="false"/>
          <w:color w:val="000000"/>
          <w:sz w:val="24"/>
          <w:lang w:val="pl-PL"/>
        </w:rPr>
        <w:t xml:space="preserve"> </w:t>
      </w:r>
      <w:r>
        <w:rPr>
          <w:rFonts w:ascii="Times New Roman"/>
          <w:b w:val="false"/>
          <w:i w:val="false"/>
          <w:color w:val="000000"/>
          <w:sz w:val="24"/>
          <w:lang w:val="pl-PL"/>
        </w:rPr>
        <w:t>monitoruje stosowanie przepisów ustawy przez podmioty kluczowe lub podmioty ważne;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295</w:t>
      </w:r>
      <w:r>
        <w:rPr>
          <w:rFonts w:ascii="Times New Roman"/>
          <w:b w:val="false"/>
          <w:i w:val="false"/>
          <w:color w:val="000000"/>
          <w:sz w:val="24"/>
          <w:lang w:val="pl-PL"/>
        </w:rPr>
        <w:t xml:space="preserve"> </w:t>
      </w:r>
      <w:r>
        <w:rPr>
          <w:rFonts w:ascii="Times New Roman"/>
          <w:b w:val="false"/>
          <w:i w:val="false"/>
          <w:color w:val="000000"/>
          <w:sz w:val="24"/>
          <w:lang w:val="pl-PL"/>
        </w:rPr>
        <w:t>wzywa na wniosek CSIRT MON, CSIRT NASK, CSIRT GOV lub CSIRT sektorowego podmioty kluczowe lub podmioty ważne do usunięcia w wyznaczonym terminie podatności, które doprowadziły lub mogły doprowadzić do incydentu poważnego lub krytycznego;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296</w:t>
      </w:r>
      <w:r>
        <w:rPr>
          <w:rFonts w:ascii="Times New Roman"/>
          <w:b w:val="false"/>
          <w:i w:val="false"/>
          <w:color w:val="000000"/>
          <w:sz w:val="24"/>
          <w:lang w:val="pl-PL"/>
        </w:rPr>
        <w:t xml:space="preserve"> </w:t>
      </w:r>
      <w:r>
        <w:rPr>
          <w:rFonts w:ascii="Times New Roman"/>
          <w:b w:val="false"/>
          <w:i w:val="false"/>
          <w:color w:val="000000"/>
          <w:sz w:val="24"/>
          <w:lang w:val="pl-PL"/>
        </w:rPr>
        <w:t>prowadzi kontrole podmiotów kluczowych lub podmiotów ważnych;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może prowadzić współpracę z właściwymi organami państw członkowskich Unii Europejskiej za pośrednictwem Pojedynczego Punktu Kontaktowego;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297</w:t>
      </w:r>
      <w:r>
        <w:rPr>
          <w:rFonts w:ascii="Times New Roman"/>
          <w:b w:val="false"/>
          <w:i w:val="false"/>
          <w:color w:val="000000"/>
          <w:sz w:val="24"/>
          <w:lang w:val="pl-PL"/>
        </w:rPr>
        <w:t xml:space="preserve"> </w:t>
      </w:r>
      <w:r>
        <w:rPr>
          <w:rFonts w:ascii="Times New Roman"/>
          <w:b w:val="false"/>
          <w:i w:val="false"/>
          <w:color w:val="000000"/>
          <w:sz w:val="24"/>
          <w:lang w:val="pl-PL"/>
        </w:rPr>
        <w:t>przetwarza informacje, w tym dane osobowe, dotyczące podmiotów kluczowych lub podmiotów ważnych oraz świadczonych przez nich usług, w zakresie niezbędnym do: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identyfikacji podmiotów kluczowych lub podmiotów ważnych,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zapewnienia wymiany informacji w zakresie cyberbezpieczeństwa, w tym o incydentach, podatnościach i cyberzagrożeniach między podmiotami kluczowymi lub podmiotami ważnymi a CSIRT MON, CSIRT NASK, CSIRT GOV, CSIRT sektorowymi i organami właściwymi do spraw cyberbezpieczeństwa,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prowadzenia czynności nadzorczych nad podmiotami kluczowymi lub podmiotami ważnymi;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uczestniczy w ćwiczeniach w zakresie cyberbezpieczeństwa organizowanych w Rzeczypospolitej Polskiej lub w Unii Europejskiej;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vertAlign w:val="superscript"/>
          <w:lang w:val="pl-PL"/>
        </w:rPr>
        <w:t>298</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współpracuje oraz wymienia informacje i dokumenty z właściwym organem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 w zakresie niezbędnym do wykonywania przez ten organ obowiązków wynikających z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299</w:t>
      </w:r>
      <w:r>
        <w:rPr>
          <w:rFonts w:ascii="Times New Roman"/>
          <w:b w:val="false"/>
          <w:i w:val="false"/>
          <w:color w:val="000000"/>
          <w:sz w:val="24"/>
          <w:lang w:val="pl-PL"/>
        </w:rPr>
        <w:t xml:space="preserve"> </w:t>
      </w:r>
      <w:r>
        <w:rPr>
          <w:rFonts w:ascii="Times New Roman"/>
          <w:b w:val="false"/>
          <w:i w:val="false"/>
          <w:color w:val="000000"/>
          <w:sz w:val="24"/>
          <w:lang w:val="pl-PL"/>
        </w:rPr>
        <w:t>współpracuje oraz wymienia informacje i dokumenty z organem właściwym do spraw podmiotów krytycznych w zakresie nadzoru nad podmiotem kluczowym będącym podmiotem krytycznym.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300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właściwy do spraw cyberbezpieczeństwa może powierzyć realizację, w jego imieniu, niektórych zadań, o których mowa w </w:t>
      </w:r>
      <w:r>
        <w:rPr>
          <w:rFonts w:ascii="Times New Roman"/>
          <w:b w:val="false"/>
          <w:i w:val="false"/>
          <w:color w:val="1b1b1b"/>
          <w:sz w:val="24"/>
          <w:lang w:val="pl-PL"/>
        </w:rPr>
        <w:t>ust. 1</w:t>
      </w:r>
      <w:r>
        <w:rPr>
          <w:rFonts w:ascii="Times New Roman"/>
          <w:b w:val="false"/>
          <w:i w:val="false"/>
          <w:color w:val="000000"/>
          <w:sz w:val="24"/>
          <w:lang w:val="pl-PL"/>
        </w:rPr>
        <w:t>, jednostkom podległym lub nadzorowanym przez ten organ.</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Powierzenie następuje na podstawie porozumienia organu właściwego do spraw cyberbezpieczeństwa z podmiotami, o których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porozumieniu, o którym mowa w </w:t>
      </w:r>
      <w:r>
        <w:rPr>
          <w:rFonts w:ascii="Times New Roman"/>
          <w:b w:val="false"/>
          <w:i w:val="false"/>
          <w:color w:val="1b1b1b"/>
          <w:sz w:val="24"/>
          <w:lang w:val="pl-PL"/>
        </w:rPr>
        <w:t>ust. 4</w:t>
      </w:r>
      <w:r>
        <w:rPr>
          <w:rFonts w:ascii="Times New Roman"/>
          <w:b w:val="false"/>
          <w:i w:val="false"/>
          <w:color w:val="000000"/>
          <w:sz w:val="24"/>
          <w:lang w:val="pl-PL"/>
        </w:rPr>
        <w:t>, określa się zasady sprawowania przez organ właściwy do spraw cyberbezpieczeństwa kontroli nad prawidłowym wykonywaniem powierzonych zadań.</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Komunikat o zawarciu porozumienia ogłasza się w dzienniku urzędowym organu właściwego do spraw cyberbezpieczeństwa. W komunikacie wskazuje się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adresie strony internetowej, na której zostanie zamieszczona treść porozumienia wraz ze stanowiącymi jego integralną treść załącznikami;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terminie, od którego porozumienie będzie obowiązywało.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i Pojedynczy Punkt Kontaktowy w uzasadnionych przypadkach współpracują z organami ścigania i organem właściwym do spraw ochrony danych osobowych.</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301</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Rekomendacje dotyczące działań mających na celu wzmocnienie cyberbezpieczeństwa, w tym wytyczne sektorowe dotyczące zgłaszania incydentów, o których mowa w ust. 1 pkt 5, przygotowuje się z uwzględnieniem w szczególności Polskich Norm przenoszących normy europejskie, wspólnych specyfikacji technicznych, rozumianych jako specyfikacje techniczne w dziedzinie produktów teleinformatycznych określone zgodnie z </w:t>
      </w:r>
      <w:r>
        <w:rPr>
          <w:rFonts w:ascii="Times New Roman"/>
          <w:b w:val="false"/>
          <w:i w:val="false"/>
          <w:color w:val="1b1b1b"/>
          <w:sz w:val="24"/>
          <w:lang w:val="pl-PL"/>
        </w:rPr>
        <w:t>art. 13</w:t>
      </w:r>
      <w:r>
        <w:rPr>
          <w:rFonts w:ascii="Times New Roman"/>
          <w:b w:val="false"/>
          <w:i w:val="false"/>
          <w:color w:val="000000"/>
          <w:sz w:val="24"/>
          <w:lang w:val="pl-PL"/>
        </w:rPr>
        <w:t xml:space="preserve"> i </w:t>
      </w:r>
      <w:r>
        <w:rPr>
          <w:rFonts w:ascii="Times New Roman"/>
          <w:b w:val="false"/>
          <w:i w:val="false"/>
          <w:color w:val="1b1b1b"/>
          <w:sz w:val="24"/>
          <w:lang w:val="pl-PL"/>
        </w:rPr>
        <w:t>art. 14</w:t>
      </w:r>
      <w:r>
        <w:rPr>
          <w:rFonts w:ascii="Times New Roman"/>
          <w:b w:val="false"/>
          <w:i w:val="false"/>
          <w:color w:val="000000"/>
          <w:sz w:val="24"/>
          <w:lang w:val="pl-PL"/>
        </w:rPr>
        <w:t xml:space="preserve"> rozporządzenia Parlamentu Europejskiego i Rady (UE) nr 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Europejskiego i Rady nr 1673/2006/WE (Dz. Urz. UE L 316 z 14.11.2012, str. 12) oraz wytycznych Komisji Europejskiej oraz ENISA w tym zakresie.</w:t>
      </w:r>
    </w:p>
    <w:p>
      <w:pPr>
        <w:spacing w:before="26" w:after="0"/>
        <w:ind w:left="0"/>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302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dla sektora bankowości i infrastruktury rynków finansowych realizuje swoje zadania, z uwzględnieniem zakresu zastosowania ustawy do podmiotów finansowych.</w:t>
      </w:r>
    </w:p>
    <w:p>
      <w:pPr>
        <w:spacing w:before="26" w:after="0"/>
        <w:ind w:left="0"/>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303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współpracy, o której mowa w ust. 1 pkt 12, mającej związek z podmiotem kluczowym lub podmiotem ważnym, który zgodnie z </w:t>
      </w:r>
      <w:r>
        <w:rPr>
          <w:rFonts w:ascii="Times New Roman"/>
          <w:b w:val="false"/>
          <w:i w:val="false"/>
          <w:color w:val="1b1b1b"/>
          <w:sz w:val="24"/>
          <w:lang w:val="pl-PL"/>
        </w:rPr>
        <w:t>rozporządzeniem</w:t>
      </w:r>
      <w:r>
        <w:rPr>
          <w:rFonts w:ascii="Times New Roman"/>
          <w:b w:val="false"/>
          <w:i w:val="false"/>
          <w:color w:val="000000"/>
          <w:sz w:val="24"/>
          <w:lang w:val="pl-PL"/>
        </w:rPr>
        <w:t xml:space="preserve"> 2022/2554 został wyznaczony jako kluczowy zewnętrzny dostawca usług ICT, organ właściwy do spraw cyberbezpieczeństwa w szczególności udziela informacji oraz istotnych zaleceń technicznych i pomocy technicznej, a także umożliwia skuteczną i szybką koordynację działań nadzorczych, w tym na potrzeby prowadzenia kontroli.</w:t>
      </w:r>
    </w:p>
    <w:p>
      <w:pPr>
        <w:spacing w:before="26" w:after="0"/>
        <w:ind w:left="0"/>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304</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prowadzi i regularnie aktualizuje wykaz osób, wobec których wydana została decyzja o zastosowaniu środka nadzorczego, o którym mowa w art. 53 ust. 9 pkt 6, obejmujący: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(imiona);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nazwisko;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numer PESEL, a w przypadku jego nieposiadania - datę urodzenia;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nazwę podmiotu kluczowego;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datę wydania decyzji;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znak sprawy;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okres obowiązywania zakazu;</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podstawę prawną wydania decyzji.</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[Przekazywanie informacji na żądanie organów właściwych do spraw cyberbezpieczeństwa]</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305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bez wszczynania postępowania, o którym mowa w art. 7j lub art. 7l, wystąpić do podmiotu, o którym mowa w załączniku nr 1 lub 2 do ustawy, o udzielenie informacji, które umożliwią wstępną ocenę, czy dany podmiot należy uznać za podmiot kluczowy lub podmiot ważny. Przepisy art. 53c ust. 2 i 3 stosuje się odpowiednio.</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306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307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308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309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310</w:t>
      </w:r>
      <w:r>
        <w:rPr>
          <w:rFonts w:ascii="Times New Roman"/>
          <w:b w:val="false"/>
          <w:i w:val="false"/>
          <w:color w:val="000000"/>
          <w:sz w:val="24"/>
          <w:lang w:val="pl-PL"/>
        </w:rPr>
        <w:t xml:space="preserve"> </w:t>
      </w:r>
      <w:r>
        <w:rPr>
          <w:rFonts w:ascii="Times New Roman"/>
          <w:b w:val="false"/>
          <w:i w:val="false"/>
          <w:color w:val="000000"/>
          <w:sz w:val="24"/>
          <w:lang w:val="pl-PL"/>
        </w:rPr>
        <w:t>Informacje udzielone przez podmiot, o którym mowa w ust. 1, mogą stanowić podstawę do wpisania podmiotu do wykazu na podstawie art. 7j albo wydania decyzji, o której mowa w art. 7l.</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[CSIRT sektorowy dla podmiotów kluczowych lub podmiotów ważnych]</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311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zapewnia funkcjonowanie CSIRT sektorowego dla podmiotów kluczowych lub podmiotów ważnych w danym sektorze lub podsektorze wymienionych w załączniku nr 1 i 2 do ustawy, do którego zadań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przyjmowanie wczesnych ostrzeżeń, zgłoszeń o incydentach, sprawozdań okresowych i sprawozdań końcowych, o których mowa w art. 11 ust. 1 pkt 4-4c;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przyjmowanie zgłoszeń o potencjalnych zdarzeniach dla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reagowanie na incydenty;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gromadzenie informacji o podatnościach i cyberzagrożeniach;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współpraca z podmiotem kluczowym lub podmiotem ważnym w zakresie wymiany dobrych praktyk oraz informacji o podatnościach i cyberzagrożeniach, organizacja i uczestniczenie w ćwiczeniach oraz wspieranie inicjatyw szkoleniowych;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współpraca z CSIRT MON, CSIRT NASK i CSIRT GOV w koordynowanym przez nie reagowaniu na incydenty, w szczególności w zakresie wymiany informacji o cyberzagrożeniach oraz stosowanych środkach zapobiegających i ograniczających wpływ incydentów;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współpraca z innymi CSIRT sektorowymi w zakresie wymiany informacji o podatnościach i cyberzagrożeniach.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312</w:t>
      </w:r>
      <w:r>
        <w:rPr>
          <w:rFonts w:ascii="Times New Roman"/>
          <w:b w:val="false"/>
          <w:i w:val="false"/>
          <w:color w:val="000000"/>
          <w:sz w:val="24"/>
          <w:lang w:val="pl-PL"/>
        </w:rPr>
        <w:t xml:space="preserve"> </w:t>
      </w:r>
      <w:r>
        <w:rPr>
          <w:rFonts w:ascii="Times New Roman"/>
          <w:b w:val="false"/>
          <w:i w:val="false"/>
          <w:color w:val="000000"/>
          <w:sz w:val="24"/>
          <w:lang w:val="pl-PL"/>
        </w:rPr>
        <w:t>CSIRT sektorowy przekazuje, za pomocą systemu teleinformatycznego, o którym mowa w art. 46 ust. 1, wczesne ostrzeżenie, zgłoszenie incydentu, sprawozdanie okresowe i sprawozdanie końcowe, o których mowa w art. 11 ust. 1 pkt 4-4c, niezwłocznie, niepóźniej niż 8 godzin od jego otrzymania, do właściwego CSIRT MON, CSIRT NASK albo CSIRT GOV.</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313</w:t>
      </w:r>
      <w:r>
        <w:rPr>
          <w:rFonts w:ascii="Times New Roman"/>
          <w:b w:val="false"/>
          <w:i w:val="false"/>
          <w:color w:val="000000"/>
          <w:sz w:val="24"/>
          <w:lang w:val="pl-PL"/>
        </w:rPr>
        <w:t xml:space="preserve"> </w:t>
      </w:r>
      <w:r>
        <w:rPr>
          <w:rFonts w:ascii="Times New Roman"/>
          <w:b w:val="false"/>
          <w:i w:val="false"/>
          <w:color w:val="000000"/>
          <w:sz w:val="24"/>
          <w:lang w:val="pl-PL"/>
        </w:rPr>
        <w:t>CSIRT sektorowy może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zapewniać we współpracy z CSIRT MON, CSIRT NASK i CSIRT GOV dynamiczną analizę ryzyka i analizę incydentów oraz wspomagać w podnoszeniu świadomości cyberzagrożeń wśród podmiotów kluczowych lub podmiotów ważnych danego sektora lub podsektora;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wykonywać niezbędne działania techniczne związane z analizą cyberzagrożeń oraz reagowaniem na incydent poważny;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koordynować, w ramach sektora lub podsektora, w uzgodnieniu z podmiotami kluczowymi lub podmiotami ważnymi obsługę incydentów, które ich dotyczą;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wspierać, w uzgodnieniu z podmiotem kluczowym lub podmiotem ważnym, wykonywanie przez niego obowiązków określonych w art. 11, art. 12-12b i art. 13;</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ramach reagowania na incydent poważny wystąpić do organu właściwego do spraw cyberbezpieczeństwa z wnioskiem o wezwanie podmiotu kluczowego lub podmiotu ważnego, aby w wyznaczonym terminie usunął podatności, które doprowadziły lub mogłyby doprowadzić do incydentu poważnego;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prowadzić działania na rzecz podnoszenia poziomu bezpieczeństwa systemów informacyjnych podmiotów kluczowych lub podmiotów ważnych w danym sektorze lub podsektorze w szczególności przez: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wykonywanie oceny bezpieczeństwa,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identyfikowanie podatności systemów dostępnych w otwartych sieciach teleinformatycznych, a także powiadamianie właścicieli tych systemów o wykrytych podatnościach oraz cyberzagrożeniach;</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 wniosek podmiotu kluczowego lub podmiotu ważnego wspierać dany podmiot w zakresie monitorowania ich sieci i systemów informatycznych w czasie rzeczywistym lub zbliżonym do rzeczywistego.</w:t>
      </w:r>
    </w:p>
    <w:p>
      <w:pPr>
        <w:spacing w:before="26" w:after="0"/>
        <w:ind w:left="0"/>
        <w:jc w:val="left"/>
        <w:textAlignment w:val="auto"/>
      </w:pPr>
      <w:r>
        <w:rPr>
          <w:rFonts w:ascii="Times New Roman"/>
          <w:b w:val="false"/>
          <w:i w:val="false"/>
          <w:color w:val="000000"/>
          <w:sz w:val="24"/>
          <w:lang w:val="pl-PL"/>
        </w:rPr>
        <w:t xml:space="preserve">1c. </w:t>
      </w:r>
      <w:r>
        <w:rPr>
          <w:rFonts w:ascii="Times New Roman"/>
          <w:b w:val="false"/>
          <w:i w:val="false"/>
          <w:color w:val="000000"/>
          <w:sz w:val="24"/>
          <w:vertAlign w:val="superscript"/>
          <w:lang w:val="pl-PL"/>
        </w:rPr>
        <w:t>314</w:t>
      </w:r>
      <w:r>
        <w:rPr>
          <w:rFonts w:ascii="Times New Roman"/>
          <w:b w:val="false"/>
          <w:i w:val="false"/>
          <w:color w:val="000000"/>
          <w:sz w:val="24"/>
          <w:lang w:val="pl-PL"/>
        </w:rPr>
        <w:t xml:space="preserve"> </w:t>
      </w:r>
      <w:r>
        <w:rPr>
          <w:rFonts w:ascii="Times New Roman"/>
          <w:b w:val="false"/>
          <w:i w:val="false"/>
          <w:color w:val="000000"/>
          <w:sz w:val="24"/>
          <w:lang w:val="pl-PL"/>
        </w:rPr>
        <w:t>CSIRT sektorowy, który otrzymał zgłoszenie incydentu, a nie jest właściwy do jego przyjęcia, przekazuje niezwłocznie to zgłoszenie do właściwego CSIRT wraz z otrzymanymi informacjami.</w:t>
      </w:r>
    </w:p>
    <w:p>
      <w:pPr>
        <w:spacing w:before="26" w:after="0"/>
        <w:ind w:left="0"/>
        <w:jc w:val="left"/>
        <w:textAlignment w:val="auto"/>
      </w:pPr>
      <w:r>
        <w:rPr>
          <w:rFonts w:ascii="Times New Roman"/>
          <w:b w:val="false"/>
          <w:i w:val="false"/>
          <w:color w:val="000000"/>
          <w:sz w:val="24"/>
          <w:lang w:val="pl-PL"/>
        </w:rPr>
        <w:t xml:space="preserve">1d. </w:t>
      </w:r>
      <w:r>
        <w:rPr>
          <w:rFonts w:ascii="Times New Roman"/>
          <w:b w:val="false"/>
          <w:i w:val="false"/>
          <w:color w:val="000000"/>
          <w:sz w:val="24"/>
          <w:vertAlign w:val="superscript"/>
          <w:lang w:val="pl-PL"/>
        </w:rPr>
        <w:t>315</w:t>
      </w:r>
      <w:r>
        <w:rPr>
          <w:rFonts w:ascii="Times New Roman"/>
          <w:b w:val="false"/>
          <w:i w:val="false"/>
          <w:color w:val="000000"/>
          <w:sz w:val="24"/>
          <w:lang w:val="pl-PL"/>
        </w:rPr>
        <w:t xml:space="preserve"> </w:t>
      </w:r>
      <w:r>
        <w:rPr>
          <w:rFonts w:ascii="Times New Roman"/>
          <w:b w:val="false"/>
          <w:i w:val="false"/>
          <w:color w:val="000000"/>
          <w:sz w:val="24"/>
          <w:lang w:val="pl-PL"/>
        </w:rPr>
        <w:t>CSIRT sektorowy informuje o złożeniu wniosku, o którym mowa w ust. 1b pkt 5, właściwy CSIRT MON, CSIRT NASK albo CSIRT GOV.</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316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317</w:t>
      </w:r>
      <w:r>
        <w:rPr>
          <w:rFonts w:ascii="Times New Roman"/>
          <w:b w:val="false"/>
          <w:i w:val="false"/>
          <w:color w:val="000000"/>
          <w:sz w:val="24"/>
          <w:lang w:val="pl-PL"/>
        </w:rPr>
        <w:t xml:space="preserve"> </w:t>
      </w:r>
      <w:r>
        <w:rPr>
          <w:rFonts w:ascii="Times New Roman"/>
          <w:b w:val="false"/>
          <w:i w:val="false"/>
          <w:color w:val="000000"/>
          <w:sz w:val="24"/>
          <w:lang w:val="pl-PL"/>
        </w:rPr>
        <w:t>CSIRT sektorowy może otrzymywać zgłoszenia incydentu poważnego z innego państwa członkowskiego Unii Europejskiej dotyczącego dwóch lub większej liczby państw członkowskich Unii Europejskiej. CSIRT sektorowy przekazuje te zgłoszenia do właściwego CSIRT MON, CSIRT NASK lub CSIRT GOV oraz Pojedynczego Punktu Kontaktowego.</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318</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informuje podmioty kluczowe lub podmioty ważne w danym sektorze oraz CSIRT MON, CSIRT NASK i CSIRT GOV o ustanowieniu CSIRT sektorowego i zakresie realizowanych zadań.</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319</w:t>
      </w:r>
      <w:r>
        <w:rPr>
          <w:rFonts w:ascii="Times New Roman"/>
          <w:b w:val="false"/>
          <w:i w:val="false"/>
          <w:color w:val="000000"/>
          <w:sz w:val="24"/>
          <w:lang w:val="pl-PL"/>
        </w:rPr>
        <w:t xml:space="preserve"> </w:t>
      </w:r>
      <w:r>
        <w:rPr>
          <w:rFonts w:ascii="Times New Roman"/>
          <w:b w:val="false"/>
          <w:i w:val="false"/>
          <w:color w:val="000000"/>
          <w:sz w:val="24"/>
          <w:lang w:val="pl-PL"/>
        </w:rPr>
        <w:t>Przepisy ust. 1-1d, 3 i 4 stosuje się odpowiednio do CSIRT sektorowego ustanowionego w sektorze bankowości i infrastruktury rynków finansowych, w szczególności w zakresie poważnych incydentów związanych z ICT zgłaszanych przez podmioty kluczowe lub podmioty ważne.</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320</w:t>
      </w:r>
      <w:r>
        <w:rPr>
          <w:rFonts w:ascii="Times New Roman"/>
          <w:b w:val="false"/>
          <w:i w:val="false"/>
          <w:color w:val="000000"/>
          <w:sz w:val="24"/>
          <w:lang w:val="pl-PL"/>
        </w:rPr>
        <w:t xml:space="preserve"> </w:t>
      </w:r>
      <w:r>
        <w:rPr>
          <w:rFonts w:ascii="Times New Roman"/>
          <w:b w:val="false"/>
          <w:i w:val="false"/>
          <w:color w:val="000000"/>
          <w:sz w:val="24"/>
          <w:lang w:val="pl-PL"/>
        </w:rPr>
        <w:t>CSIRT sektorowy ustanowiony w sektorze bankowości i infrastruktury rynków finansowych może również realizować swoje zadania w odniesieniu do podmiotów finansowych niebędących podmiotami kluczowymi lub podmiotami ważnymi, w szczególności w zakresie wsparcia w obsłudze poważnych incydentów związanych z ICT, gdy nie stanowi to dla niego nieproporcjonalnego czy nadmiernego obciążenia, z uwzględnieniem priorytetowego traktowania poważnych incydentów związanych z ICT zgłaszanych przez podmioty finansowe będące podmiotami kluczowymi lub podmiotami ważnymi oraz odpowiedniego stosowania przepisów ust. 1-1d, 3 i 4 do realizacji zadań.</w:t>
      </w:r>
    </w:p>
    <w:p>
      <w:pPr>
        <w:spacing w:before="80" w:after="0"/>
        <w:ind w:left="0"/>
        <w:jc w:val="left"/>
        <w:textAlignment w:val="auto"/>
      </w:pPr>
      <w:r>
        <w:rPr>
          <w:rFonts w:ascii="Times New Roman"/>
          <w:b/>
          <w:i w:val="false"/>
          <w:color w:val="000000"/>
          <w:sz w:val="24"/>
          <w:lang w:val="pl-PL"/>
        </w:rPr>
        <w:t xml:space="preserve"> Art. 44a. </w:t>
      </w:r>
      <w:r>
        <w:rPr>
          <w:rFonts w:ascii="Times New Roman"/>
          <w:b/>
          <w:i w:val="false"/>
          <w:color w:val="000000"/>
          <w:sz w:val="24"/>
          <w:vertAlign w:val="superscript"/>
          <w:lang w:val="pl-PL"/>
        </w:rPr>
        <w:t>321</w:t>
      </w:r>
      <w:r>
        <w:rPr>
          <w:rFonts w:ascii="Times New Roman"/>
          <w:b/>
          <w:i w:val="false"/>
          <w:color w:val="000000"/>
          <w:sz w:val="24"/>
          <w:lang w:val="pl-PL"/>
        </w:rPr>
        <w:t xml:space="preserve"> </w:t>
      </w:r>
      <w:r>
        <w:rPr>
          <w:rFonts w:ascii="Times New Roman"/>
          <w:b/>
          <w:i w:val="false"/>
          <w:color w:val="000000"/>
          <w:sz w:val="24"/>
          <w:lang w:val="pl-PL"/>
        </w:rPr>
        <w:t>[Powierzenie innemu podmiotowi realizacji zadania lub zadań CSIRT sektorowego]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powierzyć realizację zadania lub zadań CSIRT sektorowego: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jednostce jemu podległej lub przez niego nadzorowanej;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organowi przez niego nadzorowanemu;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urzędowi, który go obsługuje.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właściwy do spraw cyberbezpieczeństwa może powierzyć realizację zadania albo zadań CSIRT sektorowego państwowej osobie prawnej, o której mowa w </w:t>
      </w:r>
      <w:r>
        <w:rPr>
          <w:rFonts w:ascii="Times New Roman"/>
          <w:b w:val="false"/>
          <w:i w:val="false"/>
          <w:color w:val="1b1b1b"/>
          <w:sz w:val="24"/>
          <w:lang w:val="pl-PL"/>
        </w:rPr>
        <w:t>art. 3</w:t>
      </w:r>
      <w:r>
        <w:rPr>
          <w:rFonts w:ascii="Times New Roman"/>
          <w:b w:val="false"/>
          <w:i w:val="false"/>
          <w:color w:val="000000"/>
          <w:sz w:val="24"/>
          <w:lang w:val="pl-PL"/>
        </w:rPr>
        <w:t xml:space="preserve"> ustawy z dnia 16 grudnia 2016 r. o zasadach zarządzania mieniem państwowym, jeżeli dysponuje ona zdolnościami technicznymi i organizacyjnymi niezbędnymi do wypełniania zadań CSIRT sektorowego w danym sektorze lub podsektorze.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mogą, w drodze porozumienia, powierzyć realizację zadania lub zadań CSIRT sektorowego dla kilku sektorów lub podsektorów, dla których są właściwe, jednostce podległej jednemu z tych organów albo nadzorowanej przez jeden z tych organów. Stroną tego porozumienia jest również jednostka, której powierzono zadania.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określają w porozumieniu, o którym mowa w ust. 3, w szczególności zakres powierzonych zadań, weryfikację prawidłowości ich wykonania oraz sposób finansowania powierzonych zadań.</w:t>
      </w:r>
    </w:p>
    <w:p>
      <w:pPr>
        <w:spacing w:before="80" w:after="0"/>
        <w:ind w:left="0"/>
        <w:jc w:val="left"/>
        <w:textAlignment w:val="auto"/>
      </w:pPr>
      <w:r>
        <w:rPr>
          <w:rFonts w:ascii="Times New Roman"/>
          <w:b/>
          <w:i w:val="false"/>
          <w:color w:val="000000"/>
          <w:sz w:val="24"/>
          <w:lang w:val="pl-PL"/>
        </w:rPr>
        <w:t xml:space="preserve"> Art. 44b. </w:t>
      </w:r>
      <w:r>
        <w:rPr>
          <w:rFonts w:ascii="Times New Roman"/>
          <w:b/>
          <w:i w:val="false"/>
          <w:color w:val="000000"/>
          <w:sz w:val="24"/>
          <w:vertAlign w:val="superscript"/>
          <w:lang w:val="pl-PL"/>
        </w:rPr>
        <w:t>322</w:t>
      </w:r>
      <w:r>
        <w:rPr>
          <w:rFonts w:ascii="Times New Roman"/>
          <w:b/>
          <w:i w:val="false"/>
          <w:color w:val="000000"/>
          <w:sz w:val="24"/>
          <w:lang w:val="pl-PL"/>
        </w:rPr>
        <w:t xml:space="preserve"> </w:t>
      </w:r>
      <w:r>
        <w:rPr>
          <w:rFonts w:ascii="Times New Roman"/>
          <w:b/>
          <w:i w:val="false"/>
          <w:color w:val="000000"/>
          <w:sz w:val="24"/>
          <w:lang w:val="pl-PL"/>
        </w:rPr>
        <w:t>[Powierzenie zadań CSIRT sektorowego jednostce podległej ministrowi lub przez niego nadzorowanej]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będący organem właściwym do spraw cyberbezpieczeństwa dla kilku sektorów lub podsektorów może powierzyć jednostce jemu podległej albo nadzorowanej przez niego zadanie lub zadania CSIRT sektorowego.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Powierzenie odbywa się w drodze decyzji, do której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Komunikat o powierzeniu przez ministra będącego organem właściwym do spraw cyberbezpieczeństwa dla kilku sektorów lub podsektorów zadania lub zadań CSIRT sektorowego jednostce podległej albo nadzorowanej przez tego ministra ogłasza się w dzienniku urzędowym organu właściwego do spraw cyberbezpieczeństwa.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Ministrowie, którzy przejęli właściwość nadzorczą nad sektorami, dla których dotychczasowy minister wyznaczył wspólny CSIRT sektorowy, zawierają porozumienie, w którym wyznaczą jednostkę, która przejmie zadania CSIRT sektorowego dla poszczególnych sektorów lub podsektorów. Do czasu zawarcia porozumienia decyzja, o której mowa w ust. 2, zachowuje moc.</w:t>
      </w:r>
    </w:p>
    <w:p>
      <w:pPr>
        <w:spacing w:before="80" w:after="0"/>
        <w:ind w:left="0"/>
        <w:jc w:val="left"/>
        <w:textAlignment w:val="auto"/>
      </w:pPr>
      <w:r>
        <w:rPr>
          <w:rFonts w:ascii="Times New Roman"/>
          <w:b/>
          <w:i w:val="false"/>
          <w:color w:val="000000"/>
          <w:sz w:val="24"/>
          <w:lang w:val="pl-PL"/>
        </w:rPr>
        <w:t xml:space="preserve"> Art. 44c. </w:t>
      </w:r>
      <w:r>
        <w:rPr>
          <w:rFonts w:ascii="Times New Roman"/>
          <w:b/>
          <w:i w:val="false"/>
          <w:color w:val="000000"/>
          <w:sz w:val="24"/>
          <w:vertAlign w:val="superscript"/>
          <w:lang w:val="pl-PL"/>
        </w:rPr>
        <w:t>323</w:t>
      </w:r>
      <w:r>
        <w:rPr>
          <w:rFonts w:ascii="Times New Roman"/>
          <w:b/>
          <w:i w:val="false"/>
          <w:color w:val="000000"/>
          <w:sz w:val="24"/>
          <w:lang w:val="pl-PL"/>
        </w:rPr>
        <w:t xml:space="preserve"> </w:t>
      </w:r>
      <w:r>
        <w:rPr>
          <w:rFonts w:ascii="Times New Roman"/>
          <w:b/>
          <w:i w:val="false"/>
          <w:color w:val="000000"/>
          <w:sz w:val="24"/>
          <w:lang w:val="pl-PL"/>
        </w:rPr>
        <w:t>[Powierzenie CSIRT MON, CSIRT NASK albo CSIRT GOV realizacji zadań CSIRT sektorowego]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powierzyć CSIRT MON, CSIRT NASK albo CSIRT GOV realizację zadania albo zadań CSIRT sektorowego.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Powierzenie, o którym mowa w ust. 1, następuje na podstawie porozumienia organu właściwego do spraw cyberbezpieczeństwa: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powierzenia zadań CSIRT NASK - za zgodą ministra właściwego do spraw informatyzacji - z Dyrektorem Naukowej i Akademickiej Sieci Komputerowej - Państwowego Instytutu Badawczego;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powierzenia zadań CSIRT GOV - z Szefem Agencji Bezpieczeństwa Wewnętrznego;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powierzenia zadań CSIRT MON - z Ministrem Obrony Narodowej.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porozumienia, o którym mowa w ust. 2, stosuje się przepis art. 44a ust. 4.</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Minister Obrony Narodowej, jako organ właściwy do spraw cyberbezpieczeństwa, może powierzyć CSIRT MON realizację zadań CSIRT sektorowego w drodze decyzji niepodlegającej ogłoszeniu.</w:t>
      </w:r>
    </w:p>
    <w:p>
      <w:pPr>
        <w:spacing w:before="80" w:after="0"/>
        <w:ind w:left="0"/>
        <w:jc w:val="left"/>
        <w:textAlignment w:val="auto"/>
      </w:pPr>
      <w:r>
        <w:rPr>
          <w:rFonts w:ascii="Times New Roman"/>
          <w:b/>
          <w:i w:val="false"/>
          <w:color w:val="000000"/>
          <w:sz w:val="24"/>
          <w:lang w:val="pl-PL"/>
        </w:rPr>
        <w:t xml:space="preserve"> Art. 44d. </w:t>
      </w:r>
      <w:r>
        <w:rPr>
          <w:rFonts w:ascii="Times New Roman"/>
          <w:b/>
          <w:i w:val="false"/>
          <w:color w:val="000000"/>
          <w:sz w:val="24"/>
          <w:vertAlign w:val="superscript"/>
          <w:lang w:val="pl-PL"/>
        </w:rPr>
        <w:t>324</w:t>
      </w:r>
      <w:r>
        <w:rPr>
          <w:rFonts w:ascii="Times New Roman"/>
          <w:b/>
          <w:i w:val="false"/>
          <w:color w:val="000000"/>
          <w:sz w:val="24"/>
          <w:lang w:val="pl-PL"/>
        </w:rPr>
        <w:t xml:space="preserve"> </w:t>
      </w:r>
      <w:r>
        <w:rPr>
          <w:rFonts w:ascii="Times New Roman"/>
          <w:b/>
          <w:i w:val="false"/>
          <w:color w:val="000000"/>
          <w:sz w:val="24"/>
          <w:lang w:val="pl-PL"/>
        </w:rPr>
        <w:t>[Finansowanie zadań CSIRT sektorowego]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Zadania CSIRT sektorowego: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 finansowane z części budżetu państwa, której dysponentem jest minister albo centralny organ administracji rządowej, będący organem właściwym do spraw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mogą być dofinansowywane: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ze środków pochodzących z budżetu Unii Europejskiej,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ze środków przeznaczonych na realizację programów finansowanych z udziałem środków pochodzących z budżetu Unii Europejskiej.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Jednostka, której powierzono zadania CSIRT sektorowego dla danego sektora lub podsektora, może otrzymać na realizację tych zadań dotację celową, z części budżetowej, której dysponentem jest minister będący organem właściwym do spraw cyberbezpieczeństwa dla danego sektora lub podsektora.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gdy jednostce budżetowej powierzono realizację zadania lub zadań CSIRT sektorowego dla kilku sektorów lub podsektorów, otrzymuje ona środki z części budżetowych, których dysponentami są organy właściwe do spraw cyberbezpieczeństwa dla danego sektora lub podsektora, które zawarły porozumienie, o którym mowa w art. 44a ust. 3.</w:t>
      </w:r>
    </w:p>
    <w:p>
      <w:pPr>
        <w:spacing w:before="80" w:after="0"/>
        <w:ind w:left="0"/>
        <w:jc w:val="left"/>
        <w:textAlignment w:val="auto"/>
      </w:pPr>
      <w:r>
        <w:rPr>
          <w:rFonts w:ascii="Times New Roman"/>
          <w:b/>
          <w:i w:val="false"/>
          <w:color w:val="000000"/>
          <w:sz w:val="24"/>
          <w:lang w:val="pl-PL"/>
        </w:rPr>
        <w:t xml:space="preserve"> Art. 44e. </w:t>
      </w:r>
      <w:r>
        <w:rPr>
          <w:rFonts w:ascii="Times New Roman"/>
          <w:b/>
          <w:i w:val="false"/>
          <w:color w:val="000000"/>
          <w:sz w:val="24"/>
          <w:vertAlign w:val="superscript"/>
          <w:lang w:val="pl-PL"/>
        </w:rPr>
        <w:t>325</w:t>
      </w:r>
      <w:r>
        <w:rPr>
          <w:rFonts w:ascii="Times New Roman"/>
          <w:b/>
          <w:i w:val="false"/>
          <w:color w:val="000000"/>
          <w:sz w:val="24"/>
          <w:lang w:val="pl-PL"/>
        </w:rPr>
        <w:t xml:space="preserve"> </w:t>
      </w:r>
      <w:r>
        <w:rPr>
          <w:rFonts w:ascii="Times New Roman"/>
          <w:b/>
          <w:i w:val="false"/>
          <w:color w:val="000000"/>
          <w:sz w:val="24"/>
          <w:lang w:val="pl-PL"/>
        </w:rPr>
        <w:t>[Komunikat o zawarciu porozumienia w sprawie powierzenia realizacji zadań CSIRT sektorowego]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Komunikat o zawarciu porozumienia, o którym mowa w art. 44a ust. 3, art. 44b ust. 3 lub art. 44c ust. 2, ogłasza się w dzienniku urzędowym organu właściwego do spraw cyberbezpieczeństwa i wskazuje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adres strony internetowej, na której zostanie zamieszczona treść porozumienia wraz ze stanowiącymi jego integralną treść załącznikami;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termin, od którego porozumienie będzie obowiązywało.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informuje Pełnomocnika o zawarciu porozumienia, o którym mowa w art. 44a ust. 3, art. 44b ust. 3 lub art. 44c ust. 2. Pełnomocnik publikuje komunikat o zawarciu porozumienia na swojej stronie podmiotowej Biuletynu Informacji Publicznej.</w:t>
      </w:r>
    </w:p>
    <w:p>
      <w:pPr>
        <w:spacing w:before="80" w:after="0"/>
        <w:ind w:left="0"/>
        <w:jc w:val="left"/>
        <w:textAlignment w:val="auto"/>
      </w:pPr>
      <w:r>
        <w:rPr>
          <w:rFonts w:ascii="Times New Roman"/>
          <w:b/>
          <w:i w:val="false"/>
          <w:color w:val="000000"/>
          <w:sz w:val="24"/>
          <w:lang w:val="pl-PL"/>
        </w:rPr>
        <w:t xml:space="preserve"> Art. 44f. </w:t>
      </w:r>
      <w:r>
        <w:rPr>
          <w:rFonts w:ascii="Times New Roman"/>
          <w:b/>
          <w:i w:val="false"/>
          <w:color w:val="000000"/>
          <w:sz w:val="24"/>
          <w:vertAlign w:val="superscript"/>
          <w:lang w:val="pl-PL"/>
        </w:rPr>
        <w:t>326</w:t>
      </w:r>
      <w:r>
        <w:rPr>
          <w:rFonts w:ascii="Times New Roman"/>
          <w:b/>
          <w:i w:val="false"/>
          <w:color w:val="000000"/>
          <w:sz w:val="24"/>
          <w:lang w:val="pl-PL"/>
        </w:rPr>
        <w:t xml:space="preserve"> </w:t>
      </w:r>
      <w:r>
        <w:rPr>
          <w:rFonts w:ascii="Times New Roman"/>
          <w:b/>
          <w:i w:val="false"/>
          <w:color w:val="000000"/>
          <w:sz w:val="24"/>
          <w:lang w:val="pl-PL"/>
        </w:rPr>
        <w:t>[Sprawozdanie z funkcjonowania CSIRT sektorowego]</w:t>
      </w:r>
    </w:p>
    <w:p>
      <w:pPr>
        <w:spacing w:after="0"/>
        <w:ind w:left="0"/>
        <w:jc w:val="left"/>
        <w:textAlignment w:val="auto"/>
      </w:pPr>
      <w:r>
        <w:rPr>
          <w:rFonts w:ascii="Times New Roman"/>
          <w:b w:val="false"/>
          <w:i w:val="false"/>
          <w:color w:val="000000"/>
          <w:sz w:val="24"/>
          <w:lang w:val="pl-PL"/>
        </w:rPr>
        <w:t>Organ właściwy do spraw cyberbezpieczeństwa raz w roku, w terminie do dnia 31 stycznia, przedkłada Pełnomocnikowi sprawozdanie z funkcjonowania CSIRT sektorowego za rok poprzedni.</w:t>
      </w:r>
    </w:p>
    <w:p>
      <w:pPr>
        <w:spacing w:before="89" w:after="0"/>
        <w:ind w:left="0"/>
        <w:jc w:val="center"/>
        <w:textAlignment w:val="auto"/>
      </w:pPr>
      <w:r>
        <w:rPr>
          <w:rFonts w:ascii="Times New Roman"/>
          <w:b/>
          <w:i w:val="false"/>
          <w:color w:val="000000"/>
          <w:sz w:val="24"/>
          <w:lang w:val="pl-PL"/>
        </w:rPr>
        <w:t>Rozdział 9</w:t>
      </w:r>
    </w:p>
    <w:p>
      <w:pPr>
        <w:spacing w:before="25" w:after="0"/>
        <w:ind w:left="0"/>
        <w:jc w:val="center"/>
        <w:textAlignment w:val="auto"/>
      </w:pPr>
      <w:r>
        <w:rPr>
          <w:rFonts w:ascii="Times New Roman"/>
          <w:b/>
          <w:i w:val="false"/>
          <w:color w:val="000000"/>
          <w:sz w:val="24"/>
          <w:lang w:val="pl-PL"/>
        </w:rPr>
        <w:t>Zadania ministra właściwego do spraw informatyzacji</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[Zadania ministra]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jest odpowiedzialny za: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monitorowanie wdrażania Strategii Cyberbezpieczeństwa Rzeczypospolitej Polskiej, zwanej dalej "Strategią", oraz realizację planów działań na rzecz jej wdrożenia;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327</w:t>
      </w:r>
      <w:r>
        <w:rPr>
          <w:rFonts w:ascii="Times New Roman"/>
          <w:b w:val="false"/>
          <w:i w:val="false"/>
          <w:color w:val="000000"/>
          <w:sz w:val="24"/>
          <w:lang w:val="pl-PL"/>
        </w:rPr>
        <w:t xml:space="preserve"> </w:t>
      </w:r>
      <w:r>
        <w:rPr>
          <w:rFonts w:ascii="Times New Roman"/>
          <w:b w:val="false"/>
          <w:i w:val="false"/>
          <w:color w:val="000000"/>
          <w:sz w:val="24"/>
          <w:lang w:val="pl-PL"/>
        </w:rPr>
        <w:t>monitorowanie wdrażania Krajowego planu oraz realizację działań na rzecz jego wdrożenia;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328</w:t>
      </w:r>
      <w:r>
        <w:rPr>
          <w:rFonts w:ascii="Times New Roman"/>
          <w:b w:val="false"/>
          <w:i w:val="false"/>
          <w:color w:val="000000"/>
          <w:sz w:val="24"/>
          <w:lang w:val="pl-PL"/>
        </w:rPr>
        <w:t xml:space="preserve"> </w:t>
      </w:r>
      <w:r>
        <w:rPr>
          <w:rFonts w:ascii="Times New Roman"/>
          <w:b w:val="false"/>
          <w:i w:val="false"/>
          <w:color w:val="000000"/>
          <w:sz w:val="24"/>
          <w:lang w:val="pl-PL"/>
        </w:rPr>
        <w:t>prowadzenie wykazu;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rekomendowanie obszarów współpracy z sektorem prywatnym w celu zwiększenia cyberbezpieczeństwa Rzeczypospolitej Polskiej;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329</w:t>
      </w:r>
      <w:r>
        <w:rPr>
          <w:rFonts w:ascii="Times New Roman"/>
          <w:b w:val="false"/>
          <w:i w:val="false"/>
          <w:color w:val="000000"/>
          <w:sz w:val="24"/>
          <w:lang w:val="pl-PL"/>
        </w:rPr>
        <w:t xml:space="preserve"> </w:t>
      </w:r>
      <w:r>
        <w:rPr>
          <w:rFonts w:ascii="Times New Roman"/>
          <w:b w:val="false"/>
          <w:i w:val="false"/>
          <w:color w:val="000000"/>
          <w:sz w:val="24"/>
          <w:lang w:val="pl-PL"/>
        </w:rPr>
        <w:t>opracowywanie rocznych sprawozdań dotyczących incydentów poważnych zgłaszanych przez podmioty kluczowe lub podmioty ważne mających wpływ na ciągłość świadczenia usług przez te podmioty w Rzeczypospolitej Polskiej oraz ciągłość świadczenia usług w państwach członkowskich Unii Europejskiej;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prowadzenie działań informacyjnych dotyczących dobrych praktyk, programów edukacyjnych, kampanii i szkoleń na rzecz poszerzania wiedzy i budowania świadomości z zakresu cyberbezpieczeństwa, w tym bezpiecznego korzystania z Internetu przez różne kategorie użytkowników;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gromadzenie informacji o incydentach poważnych, które dotyczą lub zostały przekazane przez inne państwo członkowskie Unii Europejskiej;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330</w:t>
      </w:r>
      <w:r>
        <w:rPr>
          <w:rFonts w:ascii="Times New Roman"/>
          <w:b w:val="false"/>
          <w:i w:val="false"/>
          <w:color w:val="000000"/>
          <w:sz w:val="24"/>
          <w:lang w:val="pl-PL"/>
        </w:rPr>
        <w:t xml:space="preserve"> </w:t>
      </w:r>
      <w:r>
        <w:rPr>
          <w:rFonts w:ascii="Times New Roman"/>
          <w:b w:val="false"/>
          <w:i w:val="false"/>
          <w:color w:val="000000"/>
          <w:sz w:val="24"/>
          <w:lang w:val="pl-PL"/>
        </w:rPr>
        <w:t>udostępnianie informacji i dobrych praktyk uzyskanych z Grupy Współpracy podmiotom krajowego systemu cyberbezpieczeństwa w celu usprawnienia działań krajowego systemu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331</w:t>
      </w:r>
      <w:r>
        <w:rPr>
          <w:rFonts w:ascii="Times New Roman"/>
          <w:b w:val="false"/>
          <w:i w:val="false"/>
          <w:color w:val="000000"/>
          <w:sz w:val="24"/>
          <w:lang w:val="pl-PL"/>
        </w:rPr>
        <w:t xml:space="preserve"> </w:t>
      </w:r>
      <w:r>
        <w:rPr>
          <w:rFonts w:ascii="Times New Roman"/>
          <w:b w:val="false"/>
          <w:i w:val="false"/>
          <w:color w:val="000000"/>
          <w:sz w:val="24"/>
          <w:lang w:val="pl-PL"/>
        </w:rPr>
        <w:t>rekomendowanie i wspieranie przy wykorzystywaniu europejskich lub międzynarodowych standardów, a także specyfikacji technicznych mających znaczenie dla bezpieczeństwa systemów informacyjnych;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332</w:t>
      </w:r>
      <w:r>
        <w:rPr>
          <w:rFonts w:ascii="Times New Roman"/>
          <w:b w:val="false"/>
          <w:i w:val="false"/>
          <w:color w:val="000000"/>
          <w:sz w:val="24"/>
          <w:lang w:val="pl-PL"/>
        </w:rPr>
        <w:t xml:space="preserve"> </w:t>
      </w:r>
      <w:r>
        <w:rPr>
          <w:rFonts w:ascii="Times New Roman"/>
          <w:b w:val="false"/>
          <w:i w:val="false"/>
          <w:color w:val="000000"/>
          <w:sz w:val="24"/>
          <w:lang w:val="pl-PL"/>
        </w:rPr>
        <w:t>zachęcanie do korzystania z produktów ICT, usług ICT i procesów ICT certyfikowanych w ramach europejskich lub krajowych programów certyfikacji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333</w:t>
      </w:r>
      <w:r>
        <w:rPr>
          <w:rFonts w:ascii="Times New Roman"/>
          <w:b w:val="false"/>
          <w:i w:val="false"/>
          <w:color w:val="000000"/>
          <w:sz w:val="24"/>
          <w:lang w:val="pl-PL"/>
        </w:rPr>
        <w:t xml:space="preserve"> </w:t>
      </w:r>
      <w:r>
        <w:rPr>
          <w:rFonts w:ascii="Times New Roman"/>
          <w:b w:val="false"/>
          <w:i w:val="false"/>
          <w:color w:val="000000"/>
          <w:sz w:val="24"/>
          <w:lang w:val="pl-PL"/>
        </w:rPr>
        <w:t>ustanowienie odpowiednich struktur komunikacyjnych na potrzeby wczesnego wykrywania kryzysów w cyberbezpieczeństwie, reagowania kryzysowego w cyberbezpieczeństwie i zarządzania kryzysowego w cyberbezpieczeństwie, a także koordynacji współpracy w celu ochrony bezpieczeństwa technologii informacyjnej aktywów o krytycznym znaczeniu we współpracy z sektorem prywatnym;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334</w:t>
      </w:r>
      <w:r>
        <w:rPr>
          <w:rFonts w:ascii="Times New Roman"/>
          <w:b w:val="false"/>
          <w:i w:val="false"/>
          <w:color w:val="000000"/>
          <w:sz w:val="24"/>
          <w:lang w:val="pl-PL"/>
        </w:rPr>
        <w:t xml:space="preserve"> </w:t>
      </w:r>
      <w:r>
        <w:rPr>
          <w:rFonts w:ascii="Times New Roman"/>
          <w:b w:val="false"/>
          <w:i w:val="false"/>
          <w:color w:val="000000"/>
          <w:sz w:val="24"/>
          <w:lang w:val="pl-PL"/>
        </w:rPr>
        <w:t>współpracę w obszarze cyberbezpieczeństwa z państwami trzecimi;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335</w:t>
      </w:r>
      <w:r>
        <w:rPr>
          <w:rFonts w:ascii="Times New Roman"/>
          <w:b w:val="false"/>
          <w:i w:val="false"/>
          <w:color w:val="000000"/>
          <w:sz w:val="24"/>
          <w:lang w:val="pl-PL"/>
        </w:rPr>
        <w:t xml:space="preserve"> </w:t>
      </w:r>
      <w:r>
        <w:rPr>
          <w:rFonts w:ascii="Times New Roman"/>
          <w:b w:val="false"/>
          <w:i w:val="false"/>
          <w:color w:val="000000"/>
          <w:sz w:val="24"/>
          <w:lang w:val="pl-PL"/>
        </w:rPr>
        <w:t>koordynację działań organów państwa w przypadku wystąpienia sytuacji kryzysowej w cyberbezpieczeństwie niedotyczącej wymiaru militarnego;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vertAlign w:val="superscript"/>
          <w:lang w:val="pl-PL"/>
        </w:rPr>
        <w:t>336</w:t>
      </w:r>
      <w:r>
        <w:rPr>
          <w:rFonts w:ascii="Times New Roman"/>
          <w:b w:val="false"/>
          <w:i w:val="false"/>
          <w:color w:val="000000"/>
          <w:sz w:val="24"/>
          <w:lang w:val="pl-PL"/>
        </w:rPr>
        <w:t xml:space="preserve"> </w:t>
      </w:r>
      <w:r>
        <w:rPr>
          <w:rFonts w:ascii="Times New Roman"/>
          <w:b w:val="false"/>
          <w:i w:val="false"/>
          <w:color w:val="000000"/>
          <w:sz w:val="24"/>
          <w:lang w:val="pl-PL"/>
        </w:rPr>
        <w:t>uczestniczenie w pracach Europejskiej sieci organizacji łącznikowych do spraw kryzysów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337</w:t>
      </w:r>
      <w:r>
        <w:rPr>
          <w:rFonts w:ascii="Times New Roman"/>
          <w:b w:val="false"/>
          <w:i w:val="false"/>
          <w:color w:val="000000"/>
          <w:sz w:val="24"/>
          <w:lang w:val="pl-PL"/>
        </w:rPr>
        <w:t xml:space="preserve"> </w:t>
      </w:r>
      <w:r>
        <w:rPr>
          <w:rFonts w:ascii="Times New Roman"/>
          <w:b w:val="false"/>
          <w:i w:val="false"/>
          <w:color w:val="000000"/>
          <w:sz w:val="24"/>
          <w:lang w:val="pl-PL"/>
        </w:rPr>
        <w:t>przekazywanie Komisji Europejskiej aktualnych informacji o organach właściwych do spraw cyberbezpieczeństwa oraz Pojedynczym Punkcie Kontaktowym, ich danych identyfikacyjnych oraz zadaniach;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vertAlign w:val="superscript"/>
          <w:lang w:val="pl-PL"/>
        </w:rPr>
        <w:t>338</w:t>
      </w:r>
      <w:r>
        <w:rPr>
          <w:rFonts w:ascii="Times New Roman"/>
          <w:b w:val="false"/>
          <w:i w:val="false"/>
          <w:color w:val="000000"/>
          <w:sz w:val="24"/>
          <w:lang w:val="pl-PL"/>
        </w:rPr>
        <w:t xml:space="preserve"> </w:t>
      </w:r>
      <w:r>
        <w:rPr>
          <w:rFonts w:ascii="Times New Roman"/>
          <w:b w:val="false"/>
          <w:i w:val="false"/>
          <w:color w:val="000000"/>
          <w:sz w:val="24"/>
          <w:lang w:val="pl-PL"/>
        </w:rPr>
        <w:t>przekazywanie Komisji Europejskiej aktualnych informacji o CSIRT MON, CSIRT NASK i CSIRT GOV oraz CSIRT sektorowych, wraz z ich danymi kontaktowymi oraz zadaniami;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339</w:t>
      </w:r>
      <w:r>
        <w:rPr>
          <w:rFonts w:ascii="Times New Roman"/>
          <w:b w:val="false"/>
          <w:i w:val="false"/>
          <w:color w:val="000000"/>
          <w:sz w:val="24"/>
          <w:lang w:val="pl-PL"/>
        </w:rPr>
        <w:t xml:space="preserve"> </w:t>
      </w:r>
      <w:r>
        <w:rPr>
          <w:rFonts w:ascii="Times New Roman"/>
          <w:b w:val="false"/>
          <w:i w:val="false"/>
          <w:color w:val="000000"/>
          <w:sz w:val="24"/>
          <w:lang w:val="pl-PL"/>
        </w:rPr>
        <w:t>udzielanie wsparcia finansowego na działania służące rozwojowi cyberbezpieczeństwa.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340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Grupę Współpracy rozumie się grupę, o której mowa w </w:t>
      </w:r>
      <w:r>
        <w:rPr>
          <w:rFonts w:ascii="Times New Roman"/>
          <w:b w:val="false"/>
          <w:i w:val="false"/>
          <w:color w:val="1b1b1b"/>
          <w:sz w:val="24"/>
          <w:lang w:val="pl-PL"/>
        </w:rPr>
        <w:t>art. 14</w:t>
      </w:r>
      <w:r>
        <w:rPr>
          <w:rFonts w:ascii="Times New Roman"/>
          <w:b w:val="false"/>
          <w:i w:val="false"/>
          <w:color w:val="000000"/>
          <w:sz w:val="24"/>
          <w:lang w:val="pl-PL"/>
        </w:rPr>
        <w:t xml:space="preserve"> dyrektywy 2022/2555.</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341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może opublikować na swojej stronie podmiotowej Biuletynu Informacji Publicznej zestawienie wymogów dokumentów normalizacyjnych, o których mowa w </w:t>
      </w:r>
      <w:r>
        <w:rPr>
          <w:rFonts w:ascii="Times New Roman"/>
          <w:b w:val="false"/>
          <w:i w:val="false"/>
          <w:color w:val="1b1b1b"/>
          <w:sz w:val="24"/>
          <w:lang w:val="pl-PL"/>
        </w:rPr>
        <w:t>art. 2 pkt 3</w:t>
      </w:r>
      <w:r>
        <w:rPr>
          <w:rFonts w:ascii="Times New Roman"/>
          <w:b w:val="false"/>
          <w:i w:val="false"/>
          <w:color w:val="000000"/>
          <w:sz w:val="24"/>
          <w:lang w:val="pl-PL"/>
        </w:rPr>
        <w:t xml:space="preserve"> ustawy z dnia 12 września 2002 r. o normalizacji (Dz. U. z 2015 r. poz. 1483), których wykonywanie realizuje obowiązki wynikające z przepisów ustawy oraz z przepisów wydanych na podstawie art. 8a.</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342</w:t>
      </w:r>
      <w:r>
        <w:rPr>
          <w:rFonts w:ascii="Times New Roman"/>
          <w:b w:val="false"/>
          <w:i w:val="false"/>
          <w:color w:val="000000"/>
          <w:sz w:val="24"/>
          <w:lang w:val="pl-PL"/>
        </w:rPr>
        <w:t xml:space="preserve"> </w:t>
      </w:r>
      <w:r>
        <w:rPr>
          <w:rFonts w:ascii="Times New Roman"/>
          <w:b w:val="false"/>
          <w:i w:val="false"/>
          <w:color w:val="000000"/>
          <w:sz w:val="24"/>
          <w:lang w:val="pl-PL"/>
        </w:rPr>
        <w:t>Projekt zestawienia, o którym mowa w ust. 3, minister właściwy do spraw informatyzacji kieruje do 30-dniowych konsultacji publicznych, z których sporządza raport, w którym wskazuje główne tezy zawarte w stanowiskach zgłoszonych do projektu zestawienia oraz odniesienie się do nich.</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343</w:t>
      </w:r>
      <w:r>
        <w:rPr>
          <w:rFonts w:ascii="Times New Roman"/>
          <w:b w:val="false"/>
          <w:i w:val="false"/>
          <w:color w:val="000000"/>
          <w:sz w:val="24"/>
          <w:lang w:val="pl-PL"/>
        </w:rPr>
        <w:t xml:space="preserve"> </w:t>
      </w:r>
      <w:r>
        <w:rPr>
          <w:rFonts w:ascii="Times New Roman"/>
          <w:b w:val="false"/>
          <w:i w:val="false"/>
          <w:color w:val="000000"/>
          <w:sz w:val="24"/>
          <w:lang w:val="pl-PL"/>
        </w:rPr>
        <w:t>Projekt zestawienia, o którym mowa w ust. 3, uwagi zgłoszone w ramach konsultacji publicznych oraz raport ministra właściwego do spraw informatyzacji publikuje się na stronie podmiotowej Biuletynu Informacji Publicznej ministra właściwego do spraw informatyzacji, z wyłączeniem danych osobowych osób fizycznych biorących udział w konsultacjach publicznych.</w:t>
      </w:r>
    </w:p>
    <w:p>
      <w:pPr>
        <w:spacing w:before="80" w:after="0"/>
        <w:ind w:left="0"/>
        <w:jc w:val="left"/>
        <w:textAlignment w:val="auto"/>
      </w:pPr>
      <w:r>
        <w:rPr>
          <w:rFonts w:ascii="Times New Roman"/>
          <w:b/>
          <w:i w:val="false"/>
          <w:color w:val="000000"/>
          <w:sz w:val="24"/>
          <w:lang w:val="pl-PL"/>
        </w:rPr>
        <w:t xml:space="preserve"> Art. 45a. </w:t>
      </w:r>
      <w:r>
        <w:rPr>
          <w:rFonts w:ascii="Times New Roman"/>
          <w:b/>
          <w:i w:val="false"/>
          <w:color w:val="000000"/>
          <w:sz w:val="24"/>
          <w:vertAlign w:val="superscript"/>
          <w:lang w:val="pl-PL"/>
        </w:rPr>
        <w:t>344</w:t>
      </w:r>
      <w:r>
        <w:rPr>
          <w:rFonts w:ascii="Times New Roman"/>
          <w:b/>
          <w:i w:val="false"/>
          <w:color w:val="000000"/>
          <w:sz w:val="24"/>
          <w:lang w:val="pl-PL"/>
        </w:rPr>
        <w:t xml:space="preserve"> </w:t>
      </w:r>
      <w:r>
        <w:rPr>
          <w:rFonts w:ascii="Times New Roman"/>
          <w:b/>
          <w:i w:val="false"/>
          <w:color w:val="000000"/>
          <w:sz w:val="24"/>
          <w:lang w:val="pl-PL"/>
        </w:rPr>
        <w:t>[Wsparcie finansowe na działania w obszarze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może udzielić wsparcia finansowego w ramach programów rządowych lub innych programów finansowanych w całości albo w części z udziałem środków, o których mowa w </w:t>
      </w:r>
      <w:r>
        <w:rPr>
          <w:rFonts w:ascii="Times New Roman"/>
          <w:b w:val="false"/>
          <w:i w:val="false"/>
          <w:color w:val="1b1b1b"/>
          <w:sz w:val="24"/>
          <w:lang w:val="pl-PL"/>
        </w:rPr>
        <w:t>art. 5 ust. 3 pkt 6</w:t>
      </w:r>
      <w:r>
        <w:rPr>
          <w:rFonts w:ascii="Times New Roman"/>
          <w:b w:val="false"/>
          <w:i w:val="false"/>
          <w:color w:val="000000"/>
          <w:sz w:val="24"/>
          <w:lang w:val="pl-PL"/>
        </w:rPr>
        <w:t xml:space="preserve"> ustawy z dnia 27 sierpnia 2009 r. o finansach publicznych, na realizację projektów, których celem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tworzenie i rozwój produktów ICT, usług ICT oraz procesów ICT z zakresu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rozwój kompetencji w obszarze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zapewnianie cyberbezpieczeństwa w danej jednostce organizacyjnej;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promocja dobrych praktyk, programów edukacyjnych, kampanii i szkoleń na rzecz poszerzania wiedzy i budowania świadomości z zakresu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wsparcie w obszarze standaryzacji i certyfikacji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rozwój infrastruktury służącej zapewnianiu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wsparcie badań naukowych, rozwoju technologicznego i projektów pilotażowych związanych z cyberbezpieczeństwem;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wsparcie w obsłudze incydentów;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identyfikacja i mitygacja podatności produktów ICT, usług ICT i procesów ICT;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zwiększenie rozpoznawalności produktów lub usług z zakresu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inne działanie służące rozwojowi cyberbezpieczeństwa.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Wsparcie finansowe, o którym mowa w ust. 1, może być udzielane podmiotom publicznym, jak i prywatnym, i może stanowić: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pomoc publiczną dla podmiotów prywatnych;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pomoc de minimis dla podmiotów prywatnych;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dofinansowanie dla podmiotów publicznych.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Wsparcie finansowe, o którym mowa w ust. 1, jest udzielane podmiotom, które mają zdolność do realizacji projektu, o którym mowa w ust. 1.</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Wsparcie finansowe, o którym mowa w ust. 1, może mieć charakter zwrotny albo bezzwrotny.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Wybór projektów, na które jest udzielane wsparcie finansowe, o którym mowa w ust. 1, następuje w trybie konkursowym albo pozakonkursowym.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określi, odrębnie dla danego programu, o którym mowa w ust. 1, w drodze rozporządzenia, szczegółowe warunki, formę oraz tryb udzielania wsparcia finansowego, o którym mowa w ust. 1, a także podmioty go udzielające, uwzględniając konieczność realizacji celów określonych w tych programach, efektywność i skuteczność wykorzystania tego wsparcia oraz przejrzystość jego udzielania, a także zapewnienie jego zgodności z rynkiem wewnętrznym.</w:t>
      </w:r>
    </w:p>
    <w:p>
      <w:pPr>
        <w:spacing w:before="80" w:after="0"/>
        <w:ind w:left="0"/>
        <w:jc w:val="left"/>
        <w:textAlignment w:val="auto"/>
      </w:pPr>
      <w:r>
        <w:rPr>
          <w:rFonts w:ascii="Times New Roman"/>
          <w:b/>
          <w:i w:val="false"/>
          <w:color w:val="000000"/>
          <w:sz w:val="24"/>
          <w:lang w:val="pl-PL"/>
        </w:rPr>
        <w:t xml:space="preserve"> Art. 45b. </w:t>
      </w:r>
      <w:r>
        <w:rPr>
          <w:rFonts w:ascii="Times New Roman"/>
          <w:b/>
          <w:i w:val="false"/>
          <w:color w:val="000000"/>
          <w:sz w:val="24"/>
          <w:vertAlign w:val="superscript"/>
          <w:lang w:val="pl-PL"/>
        </w:rPr>
        <w:t>345</w:t>
      </w:r>
      <w:r>
        <w:rPr>
          <w:rFonts w:ascii="Times New Roman"/>
          <w:b/>
          <w:i w:val="false"/>
          <w:color w:val="000000"/>
          <w:sz w:val="24"/>
          <w:lang w:val="pl-PL"/>
        </w:rPr>
        <w:t xml:space="preserve"> </w:t>
      </w:r>
      <w:r>
        <w:rPr>
          <w:rFonts w:ascii="Times New Roman"/>
          <w:b/>
          <w:i w:val="false"/>
          <w:color w:val="000000"/>
          <w:sz w:val="24"/>
          <w:lang w:val="pl-PL"/>
        </w:rPr>
        <w:t>[Podmioty udzielające wsparcia finansowego]</w:t>
      </w:r>
    </w:p>
    <w:p>
      <w:pPr>
        <w:spacing w:after="0"/>
        <w:ind w:left="0"/>
        <w:jc w:val="left"/>
        <w:textAlignment w:val="auto"/>
      </w:pPr>
      <w:r>
        <w:rPr>
          <w:rFonts w:ascii="Times New Roman"/>
          <w:b w:val="false"/>
          <w:i w:val="false"/>
          <w:color w:val="000000"/>
          <w:sz w:val="24"/>
          <w:lang w:val="pl-PL"/>
        </w:rPr>
        <w:t>Wsparcie finansowe, o którym mowa w art. 45a ust. 1, może być udzielane w imieniu ministra właściwego do spraw informatyzacji przez podmiot mu podległy albo przez niego nadzorowany.</w:t>
      </w:r>
    </w:p>
    <w:p>
      <w:pPr>
        <w:spacing w:before="80" w:after="0"/>
        <w:ind w:left="0"/>
        <w:jc w:val="left"/>
        <w:textAlignment w:val="auto"/>
      </w:pPr>
      <w:r>
        <w:rPr>
          <w:rFonts w:ascii="Times New Roman"/>
          <w:b/>
          <w:i w:val="false"/>
          <w:color w:val="000000"/>
          <w:sz w:val="24"/>
          <w:lang w:val="pl-PL"/>
        </w:rPr>
        <w:t xml:space="preserve"> Art. 45c. </w:t>
      </w:r>
      <w:r>
        <w:rPr>
          <w:rFonts w:ascii="Times New Roman"/>
          <w:b/>
          <w:i w:val="false"/>
          <w:color w:val="000000"/>
          <w:sz w:val="24"/>
          <w:vertAlign w:val="superscript"/>
          <w:lang w:val="pl-PL"/>
        </w:rPr>
        <w:t>346</w:t>
      </w:r>
      <w:r>
        <w:rPr>
          <w:rFonts w:ascii="Times New Roman"/>
          <w:b/>
          <w:i w:val="false"/>
          <w:color w:val="000000"/>
          <w:sz w:val="24"/>
          <w:lang w:val="pl-PL"/>
        </w:rPr>
        <w:t xml:space="preserve"> </w:t>
      </w:r>
      <w:r>
        <w:rPr>
          <w:rFonts w:ascii="Times New Roman"/>
          <w:b/>
          <w:i w:val="false"/>
          <w:color w:val="000000"/>
          <w:sz w:val="24"/>
          <w:lang w:val="pl-PL"/>
        </w:rPr>
        <w:t>[Wybór projektów do dofinansowania]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Wyboru projektów dokonuje się w sposób przejrzysty, rzetelny i bezstronny na podstawie obiektywnych kryteriów oceny, biorąc pod uwagę w szczególności wpływ projektu na realizację celów określonych w art. 45a ust. 1 oraz na krajowy system cyberbezpieczeństwa.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Podstawę dofinansowania projektu stanowi umowa o dofinansowanie projektu zawarta z beneficjentem przez podmiot udzielający wsparcia finansowego, o którym mowa w art. 45a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Beneficjent może wykorzystywać otrzymane wsparcie tylko na wydatki służące realizacji celów wskazanych w art. 45a ust. 1.</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Beneficjent jest obowiązany zwrócić wsparcie wykorzystane niezgodnie z ust. 3, w terminie niedłuższym niż 15 dni od określonego w umowie dnia wykonania zadania.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Beneficjent informuje podmiot udzielający wsparcia o postępach w realizacji projektu w terminach wskazanych w umowie, o której mowa w ust. 2.</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umowy, o której mowa w ust. 2, stosuje się odpowiednio przepis </w:t>
      </w:r>
      <w:r>
        <w:rPr>
          <w:rFonts w:ascii="Times New Roman"/>
          <w:b w:val="false"/>
          <w:i w:val="false"/>
          <w:color w:val="1b1b1b"/>
          <w:sz w:val="24"/>
          <w:lang w:val="pl-PL"/>
        </w:rPr>
        <w:t>art. 150</w:t>
      </w:r>
      <w:r>
        <w:rPr>
          <w:rFonts w:ascii="Times New Roman"/>
          <w:b w:val="false"/>
          <w:i w:val="false"/>
          <w:color w:val="000000"/>
          <w:sz w:val="24"/>
          <w:lang w:val="pl-PL"/>
        </w:rPr>
        <w:t xml:space="preserve"> ustawy z dnia 27 sierpnia 2009 r. o finansach publicznych.</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[Obowiązek zapewnienia rozwoju lub utrzymania systemu teleinformatycznego wspierającego współpracę w ramach krajowego systemu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zapewnia rozwój lub utrzymanie systemu teleinformatycznego wspierającego: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współpracę podmiotów wchodzących w skład krajowego systemu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generowanie i przekazywanie rekomendacji dotyczących działań podnoszących poziom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zgłaszanie i obsługę incydentów;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szacowanie ryzyka na poziomie krajowym;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347</w:t>
      </w:r>
      <w:r>
        <w:rPr>
          <w:rFonts w:ascii="Times New Roman"/>
          <w:b w:val="false"/>
          <w:i w:val="false"/>
          <w:color w:val="000000"/>
          <w:sz w:val="24"/>
          <w:lang w:val="pl-PL"/>
        </w:rPr>
        <w:t xml:space="preserve"> </w:t>
      </w:r>
      <w:r>
        <w:rPr>
          <w:rFonts w:ascii="Times New Roman"/>
          <w:b w:val="false"/>
          <w:i w:val="false"/>
          <w:color w:val="000000"/>
          <w:sz w:val="24"/>
          <w:lang w:val="pl-PL"/>
        </w:rPr>
        <w:t>ostrzeganie o cyberzagrożeniach;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348</w:t>
      </w:r>
      <w:r>
        <w:rPr>
          <w:rFonts w:ascii="Times New Roman"/>
          <w:b w:val="false"/>
          <w:i w:val="false"/>
          <w:color w:val="000000"/>
          <w:sz w:val="24"/>
          <w:lang w:val="pl-PL"/>
        </w:rPr>
        <w:t xml:space="preserve"> </w:t>
      </w:r>
      <w:r>
        <w:rPr>
          <w:rFonts w:ascii="Times New Roman"/>
          <w:b w:val="false"/>
          <w:i w:val="false"/>
          <w:color w:val="000000"/>
          <w:sz w:val="24"/>
          <w:lang w:val="pl-PL"/>
        </w:rPr>
        <w:t>czynności nadzorcze organów właściwych do spraw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349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dokonywanie zgłoszenia naruszenia ochrony danych osobowych, o którym mowa w </w:t>
      </w:r>
      <w:r>
        <w:rPr>
          <w:rFonts w:ascii="Times New Roman"/>
          <w:b w:val="false"/>
          <w:i w:val="false"/>
          <w:color w:val="1b1b1b"/>
          <w:sz w:val="24"/>
          <w:lang w:val="pl-PL"/>
        </w:rPr>
        <w:t>art. 33</w:t>
      </w:r>
      <w:r>
        <w:rPr>
          <w:rFonts w:ascii="Times New Roman"/>
          <w:b w:val="false"/>
          <w:i w:val="false"/>
          <w:color w:val="000000"/>
          <w:sz w:val="24"/>
          <w:lang w:val="pl-PL"/>
        </w:rPr>
        <w:t xml:space="preserve"> rozporządzenia 2016/679 i </w:t>
      </w:r>
      <w:r>
        <w:rPr>
          <w:rFonts w:ascii="Times New Roman"/>
          <w:b w:val="false"/>
          <w:i w:val="false"/>
          <w:color w:val="1b1b1b"/>
          <w:sz w:val="24"/>
          <w:lang w:val="pl-PL"/>
        </w:rPr>
        <w:t>art. 44</w:t>
      </w:r>
      <w:r>
        <w:rPr>
          <w:rFonts w:ascii="Times New Roman"/>
          <w:b w:val="false"/>
          <w:i w:val="false"/>
          <w:color w:val="000000"/>
          <w:sz w:val="24"/>
          <w:lang w:val="pl-PL"/>
        </w:rPr>
        <w:t xml:space="preserve"> ustawy z dnia 14 grudnia 2018 r. o ochronie danych osobowych przetwarzanych w związku z zapobieganiem i zwalczaniem przestępczości (Dz. U. z 2023 r. poz. 1206), przez podmioty kluczowe lub podmioty ważne;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350</w:t>
      </w:r>
      <w:r>
        <w:rPr>
          <w:rFonts w:ascii="Times New Roman"/>
          <w:b w:val="false"/>
          <w:i w:val="false"/>
          <w:color w:val="000000"/>
          <w:sz w:val="24"/>
          <w:lang w:val="pl-PL"/>
        </w:rPr>
        <w:t xml:space="preserve"> </w:t>
      </w:r>
      <w:r>
        <w:rPr>
          <w:rFonts w:ascii="Times New Roman"/>
          <w:b w:val="false"/>
          <w:i w:val="false"/>
          <w:color w:val="000000"/>
          <w:sz w:val="24"/>
          <w:lang w:val="pl-PL"/>
        </w:rPr>
        <w:t>wymianę informacji o aktach ministra właściwego do spraw informatyzacji, Pełnomocnika, organów właściwych do spraw cyberbezpieczeństwa oraz Prezesa Rady Ministrów, o których mowa w art. 33 ust. 4, art. 42 ust. 1 pkt 5, art. 45 ust. 3, art. 67, art. 67a, art. 67b ust. 15, art. 67g ust. 1 i art. 67l ust. 1.</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351</w:t>
      </w:r>
      <w:r>
        <w:rPr>
          <w:rFonts w:ascii="Times New Roman"/>
          <w:b w:val="false"/>
          <w:i w:val="false"/>
          <w:color w:val="000000"/>
          <w:sz w:val="24"/>
          <w:lang w:val="pl-PL"/>
        </w:rPr>
        <w:t xml:space="preserve"> </w:t>
      </w:r>
      <w:r>
        <w:rPr>
          <w:rFonts w:ascii="Times New Roman"/>
          <w:b w:val="false"/>
          <w:i w:val="false"/>
          <w:color w:val="000000"/>
          <w:sz w:val="24"/>
          <w:lang w:val="pl-PL"/>
        </w:rPr>
        <w:t>W systemie teleinformatycznym prowadzi się wykaz.</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352</w:t>
      </w:r>
      <w:r>
        <w:rPr>
          <w:rFonts w:ascii="Times New Roman"/>
          <w:b w:val="false"/>
          <w:i w:val="false"/>
          <w:color w:val="000000"/>
          <w:sz w:val="24"/>
          <w:lang w:val="pl-PL"/>
        </w:rPr>
        <w:t xml:space="preserve"> </w:t>
      </w:r>
      <w:r>
        <w:rPr>
          <w:rFonts w:ascii="Times New Roman"/>
          <w:b w:val="false"/>
          <w:i w:val="false"/>
          <w:color w:val="000000"/>
          <w:sz w:val="24"/>
          <w:lang w:val="pl-PL"/>
        </w:rPr>
        <w:t xml:space="preserve">System teleinformatyczny zapewnia wymianę informacji między organami do spraw podmiotów krytycznych, o których mowa w </w:t>
      </w:r>
      <w:r>
        <w:rPr>
          <w:rFonts w:ascii="Times New Roman"/>
          <w:b w:val="false"/>
          <w:i w:val="false"/>
          <w:color w:val="1b1b1b"/>
          <w:sz w:val="24"/>
          <w:lang w:val="pl-PL"/>
        </w:rPr>
        <w:t>art. 6zk ust. 1</w:t>
      </w:r>
      <w:r>
        <w:rPr>
          <w:rFonts w:ascii="Times New Roman"/>
          <w:b w:val="false"/>
          <w:i w:val="false"/>
          <w:color w:val="000000"/>
          <w:sz w:val="24"/>
          <w:lang w:val="pl-PL"/>
        </w:rPr>
        <w:t xml:space="preserve"> ustawy z dnia 26 kwietnia 2007 r. o zarządzaniu kryzysowym, dyrektorem Rządowego Centrum Bezpieczeństwa a podmiotami krytycznymi, o których mowa w </w:t>
      </w:r>
      <w:r>
        <w:rPr>
          <w:rFonts w:ascii="Times New Roman"/>
          <w:b w:val="false"/>
          <w:i w:val="false"/>
          <w:color w:val="1b1b1b"/>
          <w:sz w:val="24"/>
          <w:lang w:val="pl-PL"/>
        </w:rPr>
        <w:t>art. 3 pkt 1a</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353</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CSIRT sektorowe, organy właściwe do spraw cyberbezpieczeństwa oraz Prezes Urzędu Ochrony Danych Osobowych korzystają z systemu teleinformatycznego w celu realizacji swoich zadań ustawowych.</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354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355</w:t>
      </w:r>
      <w:r>
        <w:rPr>
          <w:rFonts w:ascii="Times New Roman"/>
          <w:b w:val="false"/>
          <w:i w:val="false"/>
          <w:color w:val="000000"/>
          <w:sz w:val="24"/>
          <w:lang w:val="pl-PL"/>
        </w:rPr>
        <w:t xml:space="preserve"> </w:t>
      </w:r>
      <w:r>
        <w:rPr>
          <w:rFonts w:ascii="Times New Roman"/>
          <w:b w:val="false"/>
          <w:i w:val="false"/>
          <w:color w:val="000000"/>
          <w:sz w:val="24"/>
          <w:lang w:val="pl-PL"/>
        </w:rPr>
        <w:t>Podmioty kluczowe lub podmioty ważne, korzystają z systemu teleinformatycznego w zakresie, o którym mowa w ust. 1, w terminie 12 miesięcy od dnia spełnienia przesłanek uznania za podmiot kluczowy lub podmiot ważny.</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356</w:t>
      </w:r>
      <w:r>
        <w:rPr>
          <w:rFonts w:ascii="Times New Roman"/>
          <w:b w:val="false"/>
          <w:i w:val="false"/>
          <w:color w:val="000000"/>
          <w:sz w:val="24"/>
          <w:lang w:val="pl-PL"/>
        </w:rPr>
        <w:t xml:space="preserve"> </w:t>
      </w:r>
      <w:r>
        <w:rPr>
          <w:rFonts w:ascii="Times New Roman"/>
          <w:b w:val="false"/>
          <w:i w:val="false"/>
          <w:color w:val="000000"/>
          <w:sz w:val="24"/>
          <w:lang w:val="pl-PL"/>
        </w:rPr>
        <w:t xml:space="preserve">Uwierzytelnienie w systemie teleinformatycznym następuje za pomocą środków określonych w </w:t>
      </w:r>
      <w:r>
        <w:rPr>
          <w:rFonts w:ascii="Times New Roman"/>
          <w:b w:val="false"/>
          <w:i w:val="false"/>
          <w:color w:val="1b1b1b"/>
          <w:sz w:val="24"/>
          <w:lang w:val="pl-PL"/>
        </w:rPr>
        <w:t>art. 20a ust. 1</w:t>
      </w:r>
      <w:r>
        <w:rPr>
          <w:rFonts w:ascii="Times New Roman"/>
          <w:b w:val="false"/>
          <w:i w:val="false"/>
          <w:color w:val="000000"/>
          <w:sz w:val="24"/>
          <w:lang w:val="pl-PL"/>
        </w:rPr>
        <w:t xml:space="preserve"> ustawy z dnia 17 lutego 2005 r. o informatyzacji działalności podmiotów realizujących zadania publiczne.</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357</w:t>
      </w:r>
      <w:r>
        <w:rPr>
          <w:rFonts w:ascii="Times New Roman"/>
          <w:b w:val="false"/>
          <w:i w:val="false"/>
          <w:color w:val="000000"/>
          <w:sz w:val="24"/>
          <w:lang w:val="pl-PL"/>
        </w:rPr>
        <w:t xml:space="preserve"> </w:t>
      </w:r>
      <w:r>
        <w:rPr>
          <w:rFonts w:ascii="Times New Roman"/>
          <w:b w:val="false"/>
          <w:i w:val="false"/>
          <w:color w:val="000000"/>
          <w:sz w:val="24"/>
          <w:lang w:val="pl-PL"/>
        </w:rPr>
        <w:t>W celu zapewnienia bezpiecznego korzystania z systemu teleinformatycznego podmioty kluczowe lub podmioty ważne są obowiązane zapewnić bezpieczeństwo, ciągłość działania, aktualność i skuteczność zabezpieczeń oraz rozliczalność stosowanych systemów teleinformatycznych.</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358</w:t>
      </w:r>
      <w:r>
        <w:rPr>
          <w:rFonts w:ascii="Times New Roman"/>
          <w:b w:val="false"/>
          <w:i w:val="false"/>
          <w:color w:val="000000"/>
          <w:sz w:val="24"/>
          <w:lang w:val="pl-PL"/>
        </w:rPr>
        <w:t xml:space="preserve"> </w:t>
      </w:r>
      <w:r>
        <w:rPr>
          <w:rFonts w:ascii="Times New Roman"/>
          <w:b w:val="false"/>
          <w:i w:val="false"/>
          <w:color w:val="000000"/>
          <w:sz w:val="24"/>
          <w:lang w:val="pl-PL"/>
        </w:rPr>
        <w:t>W celu wykonania obowiązku, o którym mowa w ust. 6, podmioty kluczowe lub podmioty ważne dostosowują swoje systemy informacyjne do minimalnych wymagań technicznych i funkcjonalnych korzystania z systemu teleinformatycznego, opublikowanych przez ministra właściwego do spraw informatyzacji na jego stronie podmiotowej Biuletynu Informacji Publicznej w terminie 6 miesięcy od dnia opublikowania tych wymagań.</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359</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publikuje na swojej stronie podmiotowej Biuletynu Informacji Publicznej wykaz usług stosowany w systemie teleinformatycznym, w szczególności świadczonych przez podmioty kluczowe lub podmioty ważne.</w:t>
      </w:r>
    </w:p>
    <w:p>
      <w:pPr>
        <w:spacing w:before="26" w:after="0"/>
        <w:ind w:left="0"/>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360</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po uzyskaniu zgody właściwego CSIRT poziomu krajowego, mogą uzyskać dostęp do wszelkich informacji przetwarzanych w systemie teleinformatycznym, w zakresie dotyczącym podmiotu będącego we właściwości innego CSIRT, w szczególności w celu szacowania ryzyka bezpieczeństwa łańcucha dostaw produktów ICT, usług ICT i procesów ICT, od których zależy świadczenie usługi przez podmiot pozostający we właściwości danego CSIRT.</w:t>
      </w:r>
    </w:p>
    <w:p>
      <w:pPr>
        <w:spacing w:before="80" w:after="0"/>
        <w:ind w:left="0"/>
        <w:jc w:val="left"/>
        <w:textAlignment w:val="auto"/>
      </w:pPr>
      <w:r>
        <w:rPr>
          <w:rFonts w:ascii="Times New Roman"/>
          <w:b/>
          <w:i w:val="false"/>
          <w:color w:val="000000"/>
          <w:sz w:val="24"/>
          <w:lang w:val="pl-PL"/>
        </w:rPr>
        <w:t xml:space="preserve"> Art. 46a. </w:t>
      </w:r>
      <w:r>
        <w:rPr>
          <w:rFonts w:ascii="Times New Roman"/>
          <w:b/>
          <w:i w:val="false"/>
          <w:color w:val="000000"/>
          <w:sz w:val="24"/>
          <w:vertAlign w:val="superscript"/>
          <w:lang w:val="pl-PL"/>
        </w:rPr>
        <w:t>361</w:t>
      </w:r>
      <w:r>
        <w:rPr>
          <w:rFonts w:ascii="Times New Roman"/>
          <w:b/>
          <w:i w:val="false"/>
          <w:color w:val="000000"/>
          <w:sz w:val="24"/>
          <w:lang w:val="pl-PL"/>
        </w:rPr>
        <w:t xml:space="preserve"> </w:t>
      </w:r>
      <w:r>
        <w:rPr>
          <w:rFonts w:ascii="Times New Roman"/>
          <w:b/>
          <w:i w:val="false"/>
          <w:color w:val="000000"/>
          <w:sz w:val="24"/>
          <w:lang w:val="pl-PL"/>
        </w:rPr>
        <w:t>[Korzystanie ze środków komunikacji elektronicznej innych niż system teleinformatyczny ministra właściwego do spraw informatyzacji]</w:t>
      </w:r>
    </w:p>
    <w:p>
      <w:pPr>
        <w:spacing w:after="0"/>
        <w:ind w:left="0"/>
        <w:jc w:val="left"/>
        <w:textAlignment w:val="auto"/>
      </w:pPr>
      <w:r>
        <w:rPr>
          <w:rFonts w:ascii="Times New Roman"/>
          <w:b w:val="false"/>
          <w:i w:val="false"/>
          <w:color w:val="000000"/>
          <w:sz w:val="24"/>
          <w:lang w:val="pl-PL"/>
        </w:rPr>
        <w:t>W celu realizacji zadań, o których mowa w art. 11 ust. 2 oraz w art. 46 ust. 1 pkt 3, 4 i 6, Minister Obrony Narodowej, urząd go obsługujący oraz podmioty podległe Ministrowi Obrony Narodowej i przez niego nadzorowane mogą korzystać ze środków komunikacji elektronicznej, innych niż system, o którym mowa w art. 46 ust. 1, zapewniających poufność, integralność, dostępność i autentyczność przetwarzanych danych.</w:t>
      </w:r>
    </w:p>
    <w:p>
      <w:pPr>
        <w:spacing w:before="80" w:after="0"/>
        <w:ind w:left="0"/>
        <w:jc w:val="left"/>
        <w:textAlignment w:val="auto"/>
      </w:pPr>
      <w:r>
        <w:rPr>
          <w:rFonts w:ascii="Times New Roman"/>
          <w:b/>
          <w:i w:val="false"/>
          <w:color w:val="000000"/>
          <w:sz w:val="24"/>
          <w:lang w:val="pl-PL"/>
        </w:rPr>
        <w:t xml:space="preserve"> Art. 46b. </w:t>
      </w:r>
      <w:r>
        <w:rPr>
          <w:rFonts w:ascii="Times New Roman"/>
          <w:b/>
          <w:i w:val="false"/>
          <w:color w:val="000000"/>
          <w:sz w:val="24"/>
          <w:vertAlign w:val="superscript"/>
          <w:lang w:val="pl-PL"/>
        </w:rPr>
        <w:t>362</w:t>
      </w:r>
      <w:r>
        <w:rPr>
          <w:rFonts w:ascii="Times New Roman"/>
          <w:b/>
          <w:i w:val="false"/>
          <w:color w:val="000000"/>
          <w:sz w:val="24"/>
          <w:lang w:val="pl-PL"/>
        </w:rPr>
        <w:t xml:space="preserve"> </w:t>
      </w:r>
      <w:r>
        <w:rPr>
          <w:rFonts w:ascii="Times New Roman"/>
          <w:b/>
          <w:i w:val="false"/>
          <w:color w:val="000000"/>
          <w:sz w:val="24"/>
          <w:lang w:val="pl-PL"/>
        </w:rPr>
        <w:t>[Skuteczność doręczenia pisma za pośrednictwem systemu teleinformatycznego prowadzonego przez ministra właściwego do spraw informatyzacji]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doręczenia pisma w postaci elektronicznej za pośrednictwem systemu, o którym mowa w art. 46 ust. 1, przez organ administracji publicznej doręczenie jest skuteczne, jeżeli adresat potwierdzi odbiór pisma w systemie.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nieodebrania pisma w postaci elektronicznej za pośrednictwem systemu, o którym mowa w art. 46 ust. 1, organ administracji publicznej po upływie 7 dni, licząc od dnia jego wysłania, przesyła zawiadomienie o możliwości odebrania tego pisma.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Zawiadomienie o możliwości odebrania pisma może być automatycznie tworzone i przesyłane za pośrednictwem systemu, o którym mowa w art. 46 ust. 1, a odbioru tego zawiadomienia nie potwierdza się.</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nieodebrania pisma w postaci elektronicznej za pośrednictwem systemu, o którym mowa w art. 46 ust. 1, doręczenie uważa się za dokonane po upływie 14 dni, licząc od dnia wysłania pisma.</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[Delegowanie realizacji zadań na jednostki podległe lub nadzorowane przez ministra]</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363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może powierzyć realizację zadań, o których mowa w art. 45 ust. 1, art. 45a ust. 1 i art. 46 ust. 1 i 1a, jednostkom jemu podległym lub przez niego nadzorowanym.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Zadania powierzone do realizacji jednostkom, o których mowa w </w:t>
      </w:r>
      <w:r>
        <w:rPr>
          <w:rFonts w:ascii="Times New Roman"/>
          <w:b w:val="false"/>
          <w:i w:val="false"/>
          <w:color w:val="1b1b1b"/>
          <w:sz w:val="24"/>
          <w:lang w:val="pl-PL"/>
        </w:rPr>
        <w:t>ust. 1</w:t>
      </w:r>
      <w:r>
        <w:rPr>
          <w:rFonts w:ascii="Times New Roman"/>
          <w:b w:val="false"/>
          <w:i w:val="false"/>
          <w:color w:val="000000"/>
          <w:sz w:val="24"/>
          <w:lang w:val="pl-PL"/>
        </w:rPr>
        <w:t>, są finansowane w formie dotacji celowej z części budżetu państwa, której dysponentem jest minister właściwy do spraw informatyzacji.</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364</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może udostępniać jednostkom, o których mowa w ust. 1, dane z wykazu w zakresie i w celu realizacji zadań im powierzonych, z uwzględnieniem poufności, integralności, dostępności i autentyczności tych danych.</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[Zadania Pojedynczego Punktu Kontaktowego]</w:t>
      </w:r>
    </w:p>
    <w:p>
      <w:pPr>
        <w:spacing w:after="0"/>
        <w:ind w:left="0"/>
        <w:jc w:val="left"/>
        <w:textAlignment w:val="auto"/>
      </w:pPr>
      <w:r>
        <w:rPr>
          <w:rFonts w:ascii="Times New Roman"/>
          <w:b w:val="false"/>
          <w:i w:val="false"/>
          <w:color w:val="000000"/>
          <w:sz w:val="24"/>
          <w:lang w:val="pl-PL"/>
        </w:rPr>
        <w:t>Minister właściwy do spraw informatyzacji prowadzi Pojedynczy Punkt Kontaktowy, do którego zadań należy: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365</w:t>
      </w:r>
      <w:r>
        <w:rPr>
          <w:rFonts w:ascii="Times New Roman"/>
          <w:b w:val="false"/>
          <w:i w:val="false"/>
          <w:color w:val="000000"/>
          <w:sz w:val="24"/>
          <w:lang w:val="pl-PL"/>
        </w:rPr>
        <w:t xml:space="preserve"> </w:t>
      </w:r>
      <w:r>
        <w:rPr>
          <w:rFonts w:ascii="Times New Roman"/>
          <w:b w:val="false"/>
          <w:i w:val="false"/>
          <w:color w:val="000000"/>
          <w:sz w:val="24"/>
          <w:lang w:val="pl-PL"/>
        </w:rPr>
        <w:t>odbieranie zgłoszeń incydentu dotyczącego więcej niż jednego sektora lub dotyczącego innych państw członkowskich Unii Europejskiej z Pojedynczych Punktów Kontaktowych w innych państwach członkowskich Unii Europejskiej, także przekazywanie tych zgłoszeń do CSIRT MON, CSIRT NASK, CSIRT GOV lub CSIRT sektorowego;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366</w:t>
      </w:r>
      <w:r>
        <w:rPr>
          <w:rFonts w:ascii="Times New Roman"/>
          <w:b w:val="false"/>
          <w:i w:val="false"/>
          <w:color w:val="000000"/>
          <w:sz w:val="24"/>
          <w:lang w:val="pl-PL"/>
        </w:rPr>
        <w:t xml:space="preserve"> </w:t>
      </w:r>
      <w:r>
        <w:rPr>
          <w:rFonts w:ascii="Times New Roman"/>
          <w:b w:val="false"/>
          <w:i w:val="false"/>
          <w:color w:val="000000"/>
          <w:sz w:val="24"/>
          <w:lang w:val="pl-PL"/>
        </w:rPr>
        <w:t>przekazywanie, na wniosek właściwego CSIRT MON, CSIRT NASK lub CSIRT GOV, zgłoszenia incydentu dotyczącego więcej niż jednego sektora lub innych państw członkowskich Unii Europejskiej do Pojedynczych Punktów Kontaktowych w innych państwach członkowskich Unii Europejskiej;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zapewnienie reprezentacji Rzeczypospolitej Polskiej w Grupie Współpracy;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zapewnienie współpracy z Komisją Europejską w dziedzinie cyberbezpieczeństwa;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koordynacja współpracy między organami właściwymi do spraw cyberbezpieczeństwa i organami władzy publicznej w Rzeczypospolitej Polskiej z odpowiednimi organami w państwach członkowskich Unii Europejskiej;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zapewnienie wymiany informacji na potrzeby Grupy Współpracy oraz Sieci CSIRT.</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[Dane przekazywane przez Pojedynczy Punkt Kontaktowy Grupie Współpracy oraz ENISA]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przekazuje Grupie Współpracy: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art. 45 ust. 1 pkt 3</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dobre praktyki, o których mowa w </w:t>
      </w:r>
      <w:r>
        <w:rPr>
          <w:rFonts w:ascii="Times New Roman"/>
          <w:b w:val="false"/>
          <w:i w:val="false"/>
          <w:color w:val="1b1b1b"/>
          <w:sz w:val="24"/>
          <w:lang w:val="pl-PL"/>
        </w:rPr>
        <w:t>art. 45 ust. 1 pkt 4</w:t>
      </w:r>
      <w:r>
        <w:rPr>
          <w:rFonts w:ascii="Times New Roman"/>
          <w:b w:val="false"/>
          <w:i w:val="false"/>
          <w:color w:val="000000"/>
          <w:sz w:val="24"/>
          <w:lang w:val="pl-PL"/>
        </w:rPr>
        <w:t>, związane ze zgłaszaniem incydentów;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propozycje do programu prac Grupy Współpracy;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dobre praktyki krajowe dotyczące podnoszenia świadomości, szkoleń, badań i rozwoju z zakresu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367</w:t>
      </w:r>
      <w:r>
        <w:rPr>
          <w:rFonts w:ascii="Times New Roman"/>
          <w:b w:val="false"/>
          <w:i w:val="false"/>
          <w:color w:val="000000"/>
          <w:sz w:val="24"/>
          <w:lang w:val="pl-PL"/>
        </w:rPr>
        <w:t xml:space="preserve"> </w:t>
      </w:r>
      <w:r>
        <w:rPr>
          <w:rFonts w:ascii="Times New Roman"/>
          <w:b w:val="false"/>
          <w:i w:val="false"/>
          <w:color w:val="000000"/>
          <w:sz w:val="24"/>
          <w:lang w:val="pl-PL"/>
        </w:rPr>
        <w:t>dobre praktyki w odniesieniu do identyfikowania podmiotów kluczowych lub podmiotów ważnych, w tym w odniesieniu do występujących w dwóch lub większej liczbie państw członkowskich Unii Europejskiej zależności dotyczących ryzyka i incydentów.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Dane przekazywane Grupie Współpracy nie obejmują informacji, które dotyczą bezpieczeństwa narodowego oraz porządku publicznego.</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368</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przekazuje organom właściwym do spraw cyberbezpieczeństwa, CSIRT MON, CSIRT NASK, CSIRT GOV, CSIRT sektorowym oraz innym organom władzy publicznej informacje pochodzące z Grupy Współpracy dotyczące: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ocen krajowych strategii państw członkowskich Unii Europejskiej w zakresie cyberbezpieczeństwa oraz skuteczności CSIRT, a także dobrych praktyk w zakresie cyberbezpieczeństwa;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369</w:t>
      </w:r>
      <w:r>
        <w:rPr>
          <w:rFonts w:ascii="Times New Roman"/>
          <w:b w:val="false"/>
          <w:i w:val="false"/>
          <w:color w:val="000000"/>
          <w:sz w:val="24"/>
          <w:lang w:val="pl-PL"/>
        </w:rPr>
        <w:t xml:space="preserve"> </w:t>
      </w:r>
      <w:r>
        <w:rPr>
          <w:rFonts w:ascii="Times New Roman"/>
          <w:b w:val="false"/>
          <w:i w:val="false"/>
          <w:color w:val="000000"/>
          <w:sz w:val="24"/>
          <w:lang w:val="pl-PL"/>
        </w:rPr>
        <w:t>działań podjętych w odniesieniu do ćwiczeń dotyczących cyberbezpieczeństwa, europejskich programów edukacyjnych i szkoleń, w tym działań ENISA;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wytycznych o charakterze strategicznym dotyczących działalności Sieci CSIRT;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370</w:t>
      </w:r>
      <w:r>
        <w:rPr>
          <w:rFonts w:ascii="Times New Roman"/>
          <w:b w:val="false"/>
          <w:i w:val="false"/>
          <w:color w:val="000000"/>
          <w:sz w:val="24"/>
          <w:lang w:val="pl-PL"/>
        </w:rPr>
        <w:t xml:space="preserve"> </w:t>
      </w:r>
      <w:r>
        <w:rPr>
          <w:rFonts w:ascii="Times New Roman"/>
          <w:b w:val="false"/>
          <w:i w:val="false"/>
          <w:color w:val="000000"/>
          <w:sz w:val="24"/>
          <w:lang w:val="pl-PL"/>
        </w:rPr>
        <w:t>dobrych praktyk w zakresie wymiany informacji związanych ze zgłaszaniem w Unii Europejskiej incydentów poważnych przez podmioty kluczowe lub podmioty ważne;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dobrych praktyk w krajach członkowskich Unii Europejskiej dotyczących podnoszenia świadomości, szkolenia, zakresu badań i rozwoju w zakresie cyberbezpieczeństwa;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371</w:t>
      </w:r>
      <w:r>
        <w:rPr>
          <w:rFonts w:ascii="Times New Roman"/>
          <w:b w:val="false"/>
          <w:i w:val="false"/>
          <w:color w:val="000000"/>
          <w:sz w:val="24"/>
          <w:lang w:val="pl-PL"/>
        </w:rPr>
        <w:t xml:space="preserve"> </w:t>
      </w:r>
      <w:r>
        <w:rPr>
          <w:rFonts w:ascii="Times New Roman"/>
          <w:b w:val="false"/>
          <w:i w:val="false"/>
          <w:color w:val="000000"/>
          <w:sz w:val="24"/>
          <w:lang w:val="pl-PL"/>
        </w:rPr>
        <w:t>dobrych praktyk w zakresie identyfikowania podmiotów kluczowych lub podmiotów ważnych przez państwa członkowskie Unii Europejskiej, w tym w odniesieniu do transgranicznych zależności, dotyczących ryzyka i incydentów.</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372</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przekazuje ENISA aktualne dane z wykazu dotyczące dostawców usług DNS, rejestrów nazw domen najwyższego poziomu (TLD), dostawców chmury obliczeniowej, dostawców usługi centrum przetwarzania danych, dostawców sieci dostarczania treści, dostawców usług zarządzanych, dostawców usług zarządzanych w zakresie cyberbezpieczeństwa, jak również dostawców internetowych platform handlowych, wyszukiwarek internetowych i platform usług sieci społecznościowych.</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373</w:t>
      </w:r>
      <w:r>
        <w:rPr>
          <w:rFonts w:ascii="Times New Roman"/>
          <w:b w:val="false"/>
          <w:i w:val="false"/>
          <w:color w:val="000000"/>
          <w:sz w:val="24"/>
          <w:lang w:val="pl-PL"/>
        </w:rPr>
        <w:t xml:space="preserve"> </w:t>
      </w:r>
      <w:r>
        <w:rPr>
          <w:rFonts w:ascii="Times New Roman"/>
          <w:b w:val="false"/>
          <w:i w:val="false"/>
          <w:color w:val="000000"/>
          <w:sz w:val="24"/>
          <w:lang w:val="pl-PL"/>
        </w:rPr>
        <w:t>Dane, o których mowa w ust. 4, obejmują: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(firmę) podmiotu;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sektor, podsektor i rodzaj podmiotu;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siedzibę i adres;</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adres poczty elektronicznej;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numer telefonu przyporządkowany do wykonywanej działalności;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informację o wyznaczeniu przedstawiciela wraz z danymi kontaktowymi, o których mowa w art. 7 ust. 2 pkt 17 lit. a lub b;</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adresy innych miejsc prowadzenia działalności na terenie Unii Europejskiej;</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adres wyznaczonego przedstawiciela, jeśli został wyznaczony;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wskazanie państw członkowskich Unii Europejskiej, w których podmiot świadczy usługi;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główne miejsce prowadzenia działalności ustalone zgodnie z art. 5a ust. 3-6.</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374</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co trzy miesiące, przedkłada ENISA sprawozdanie podsumowujące, zawierające dane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incydentach poważnych;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incydentach;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cyberzagrożeniach;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potencjalnych zdarzeniach dla cyberbezpieczeństwa.</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375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dla sektora infrastruktury cyfrowej, CSIRT sektorowy dla tego sektora oraz CSIRT MON, CSIRT NASK, CSIRT GOV może, za pośrednictwem Pojedynczego Punktu Kontaktowego, złożyć wniosek do ENISA o udostępnienie danych z rejestru dostawców usług DNS, rejestrów nazw domen najwyższego poziomu (TLD), dostawców chmury obliczeniowej, dostawców usług ośrodka przetwarzania danych, dostawców sieci dostarczania treści, dostawców usług zarządzanych, dostawców usług zarządzanych w zakresie cyberbezpieczeństwa, jak również dostawców internetowych platform handlowych, wyszukiwarek internetowych i platform usług sieci społecznościowych. We wniosku wskazuje się zakres żądanych danych.</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376</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Szef Agencji Bezpieczeństwa Wewnętrznego, Minister Obrony Narodowej, minister właściwy do spraw informatyzacji mogą, za pomocą Pojedynczego Punktu Kontaktowego, zwrócić się do ENISA o udzielenie wsparcia przy rozwijaniu CSIRT sektorowych oraz CSIRT MON, CSIRT NASK lub CSIRT GOV.</w:t>
      </w:r>
    </w:p>
    <w:p>
      <w:pPr>
        <w:spacing w:before="80" w:after="0"/>
        <w:ind w:left="0"/>
        <w:jc w:val="left"/>
        <w:textAlignment w:val="auto"/>
      </w:pPr>
      <w:r>
        <w:rPr>
          <w:rFonts w:ascii="Times New Roman"/>
          <w:b/>
          <w:i w:val="false"/>
          <w:color w:val="000000"/>
          <w:sz w:val="24"/>
          <w:lang w:val="pl-PL"/>
        </w:rPr>
        <w:t xml:space="preserve"> Art. 50. </w:t>
      </w:r>
      <w:r>
        <w:rPr>
          <w:rFonts w:ascii="Times New Roman"/>
          <w:b/>
          <w:i w:val="false"/>
          <w:color w:val="000000"/>
          <w:sz w:val="24"/>
          <w:vertAlign w:val="superscript"/>
          <w:lang w:val="pl-PL"/>
        </w:rPr>
        <w:t>377</w:t>
      </w:r>
      <w:r>
        <w:rPr>
          <w:rFonts w:ascii="Times New Roman"/>
          <w:b/>
          <w:i w:val="false"/>
          <w:color w:val="000000"/>
          <w:sz w:val="24"/>
          <w:lang w:val="pl-PL"/>
        </w:rPr>
        <w:t xml:space="preserve"> </w:t>
      </w:r>
      <w:r>
        <w:rPr>
          <w:rFonts w:ascii="Times New Roman"/>
          <w:b/>
          <w:i w:val="false"/>
          <w:color w:val="000000"/>
          <w:sz w:val="24"/>
          <w:lang w:val="pl-PL"/>
        </w:rPr>
        <w:t>[Dane przekazywane przez Pojedynczy Punkt Kontaktowy Komisji Europejskiej oraz Grupie Współpracy]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przekazuje Komisji Europejskiej: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niezwłocznie informacje 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wyznaczonych organach właściwych do spraw cyberbezpieczeństwa, Pojedynczym Punkcie Kontaktowym, ich zadaniach oraz późniejszych zmianach w tym zakresie,</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przepisach dotyczących kar pieniężnych dotyczących krajowego systemu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co 2 lata informacje dotyczące krajowego systemu cyberbezpieczeństwa,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liczbę podmiotów kluczowych w podziale na poszczególne sektory,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liczbę podmiotów ważnych w podziale na poszczególne sektory,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rodzaje usług świadczonych przez podmioty kluczowe lub podmioty ważne,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przepisy, na podstawie których podmioty kluczowe lub podmioty ważne zostały wskazane;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informacje o zadaniach CSIRT MON, CSIRT NASK i CSIRT GOV, w tym o głównych elementach procedur postępowania w przypadku wystąpienia incydentu.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Pojedynczy Punkt Kontaktowy przekazuje Grupie Współpracy: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liczbę podmiotów kluczowych w podziale na poszczególne sektory;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liczbę podmiotów ważnych w podziale na poszczególne sektory.</w:t>
      </w:r>
    </w:p>
    <w:p>
      <w:pPr>
        <w:spacing w:before="89" w:after="0"/>
        <w:ind w:left="0"/>
        <w:jc w:val="center"/>
        <w:textAlignment w:val="auto"/>
      </w:pPr>
      <w:r>
        <w:rPr>
          <w:rFonts w:ascii="Times New Roman"/>
          <w:b/>
          <w:i w:val="false"/>
          <w:color w:val="000000"/>
          <w:sz w:val="24"/>
          <w:lang w:val="pl-PL"/>
        </w:rPr>
        <w:t>Rozdział 10</w:t>
      </w:r>
    </w:p>
    <w:p>
      <w:pPr>
        <w:spacing w:before="25" w:after="0"/>
        <w:ind w:left="0"/>
        <w:jc w:val="center"/>
        <w:textAlignment w:val="auto"/>
      </w:pPr>
      <w:r>
        <w:rPr>
          <w:rFonts w:ascii="Times New Roman"/>
          <w:b/>
          <w:i w:val="false"/>
          <w:color w:val="000000"/>
          <w:sz w:val="24"/>
          <w:lang w:val="pl-PL"/>
        </w:rPr>
        <w:t>Zadania Ministra Obrony Narodowej</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[Zadania ministra]</w:t>
      </w:r>
    </w:p>
    <w:p>
      <w:pPr>
        <w:spacing w:after="0"/>
        <w:ind w:left="0"/>
        <w:jc w:val="left"/>
        <w:textAlignment w:val="auto"/>
      </w:pPr>
      <w:r>
        <w:rPr>
          <w:rFonts w:ascii="Times New Roman"/>
          <w:b w:val="false"/>
          <w:i w:val="false"/>
          <w:color w:val="000000"/>
          <w:sz w:val="24"/>
          <w:lang w:val="pl-PL"/>
        </w:rPr>
        <w:t>Minister Obrony Narodowej jest odpowiedzialny za: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współpracę Sił Zbrojnych Rzeczypospolitej Polskiej z właściwymi organami Organizacji Traktatu Północnoatlantyckiego, Unii Europejskiej i organizacji międzynarodowych w obszarze obrony narodowej w zakresie cyberbezpieczeństwa;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378</w:t>
      </w:r>
      <w:r>
        <w:rPr>
          <w:rFonts w:ascii="Times New Roman"/>
          <w:b w:val="false"/>
          <w:i w:val="false"/>
          <w:color w:val="000000"/>
          <w:sz w:val="24"/>
          <w:lang w:val="pl-PL"/>
        </w:rPr>
        <w:t xml:space="preserve"> </w:t>
      </w:r>
      <w:r>
        <w:rPr>
          <w:rFonts w:ascii="Times New Roman"/>
          <w:b w:val="false"/>
          <w:i w:val="false"/>
          <w:color w:val="000000"/>
          <w:sz w:val="24"/>
          <w:lang w:val="pl-PL"/>
        </w:rPr>
        <w:t>zapewnienie zdolności Siłom Zbrojnym Rzeczypospolitej Polskiej w układzie krajowym, sojuszniczym i koalicyjnym do prowadzenia działań militarnych w przypadku cyberzagrożenia powodującego konieczność działań obronnych;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rozwijanie umiejętności Sił Zbrojnych Rzeczypospolitej Polskiej w zakresie zapewnienia cyberbezpieczeństwa przez organizację specjalistycznych przedsięwzięć szkoleniowych;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pozyskiwanie i rozwój narzędzi służących budowaniu zdolności zapewnienia cyberbezpieczeństwa w Siłach Zbrojnych Rzeczypospolitej Polskiej;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379</w:t>
      </w:r>
      <w:r>
        <w:rPr>
          <w:rFonts w:ascii="Times New Roman"/>
          <w:b w:val="false"/>
          <w:i w:val="false"/>
          <w:color w:val="000000"/>
          <w:sz w:val="24"/>
          <w:lang w:val="pl-PL"/>
        </w:rPr>
        <w:t xml:space="preserve"> </w:t>
      </w:r>
      <w:r>
        <w:rPr>
          <w:rFonts w:ascii="Times New Roman"/>
          <w:b w:val="false"/>
          <w:i w:val="false"/>
          <w:color w:val="000000"/>
          <w:sz w:val="24"/>
          <w:lang w:val="pl-PL"/>
        </w:rPr>
        <w:t>koordynację działań związanych z obsługą incydentów w czasie stanu wojennego lub w czasie wojny, z zastrzeżeniem kompetencji Naczelnego Dowódcy Sił Zbrojnych;</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380</w:t>
      </w:r>
      <w:r>
        <w:rPr>
          <w:rFonts w:ascii="Times New Roman"/>
          <w:b w:val="false"/>
          <w:i w:val="false"/>
          <w:color w:val="000000"/>
          <w:sz w:val="24"/>
          <w:lang w:val="pl-PL"/>
        </w:rPr>
        <w:t xml:space="preserve"> </w:t>
      </w:r>
      <w:r>
        <w:rPr>
          <w:rFonts w:ascii="Times New Roman"/>
          <w:b w:val="false"/>
          <w:i w:val="false"/>
          <w:color w:val="000000"/>
          <w:sz w:val="24"/>
          <w:lang w:val="pl-PL"/>
        </w:rPr>
        <w:t>ocenę wpływu incydentów poważnych i krytycznych na system obronny państwa;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381</w:t>
      </w:r>
      <w:r>
        <w:rPr>
          <w:rFonts w:ascii="Times New Roman"/>
          <w:b w:val="false"/>
          <w:i w:val="false"/>
          <w:color w:val="000000"/>
          <w:sz w:val="24"/>
          <w:lang w:val="pl-PL"/>
        </w:rPr>
        <w:t xml:space="preserve"> </w:t>
      </w:r>
      <w:r>
        <w:rPr>
          <w:rFonts w:ascii="Times New Roman"/>
          <w:b w:val="false"/>
          <w:i w:val="false"/>
          <w:color w:val="000000"/>
          <w:sz w:val="24"/>
          <w:lang w:val="pl-PL"/>
        </w:rPr>
        <w:t>ocenę cyberzagrożeń, w zakresie ich wpływu na system obronny państwa oraz przedstawianie właściwym organom, w przypadku wprowadzenia stanu wojennego lub stanu wojny, propozycji dotyczących działań obronnych z zastrzeżeniem kompetencji Naczelnego Dowódcy Sił Zbrojnych;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382</w:t>
      </w:r>
      <w:r>
        <w:rPr>
          <w:rFonts w:ascii="Times New Roman"/>
          <w:b w:val="false"/>
          <w:i w:val="false"/>
          <w:color w:val="000000"/>
          <w:sz w:val="24"/>
          <w:lang w:val="pl-PL"/>
        </w:rPr>
        <w:t xml:space="preserve"> </w:t>
      </w:r>
      <w:r>
        <w:rPr>
          <w:rFonts w:ascii="Times New Roman"/>
          <w:b w:val="false"/>
          <w:i w:val="false"/>
          <w:color w:val="000000"/>
          <w:sz w:val="24"/>
          <w:lang w:val="pl-PL"/>
        </w:rPr>
        <w:t>koordynację, we współpracy z ministrem właściwym do spraw wewnętrznych i ministrem właściwym do spraw informatyzacji, realizacji zadań organów administracji rządowej i jednostek samorządu terytorialnego w czasie stanu wojennego lub w czasie wojny dotyczących działań obronnych w przypadku cyberzagrożenia z zastrzeżeniem kompetencji Naczelnego Dowódcy Sił Zbrojnych.</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[Zadania Narodowego Punktu Kontaktowego do współpracy z Organizacją Traktatu]</w:t>
      </w:r>
    </w:p>
    <w:p>
      <w:pPr>
        <w:spacing w:after="0"/>
        <w:ind w:left="0"/>
        <w:jc w:val="left"/>
        <w:textAlignment w:val="auto"/>
      </w:pPr>
      <w:r>
        <w:rPr>
          <w:rFonts w:ascii="Times New Roman"/>
          <w:b w:val="false"/>
          <w:i w:val="false"/>
          <w:color w:val="000000"/>
          <w:sz w:val="24"/>
          <w:lang w:val="pl-PL"/>
        </w:rPr>
        <w:t>Minister Obrony Narodowej prowadzi Narodowy Punkt Kontaktowy do współpracy z Organizacją Traktatu Północnoatlantyckiego, do którego zadań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zapewnienie współpracy w obszarze obrony narodowej z właściwymi organami Organizacji Traktatu Północnoatlantyckiego w zakresie cyberbezpieczeństwa;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383</w:t>
      </w:r>
      <w:r>
        <w:rPr>
          <w:rFonts w:ascii="Times New Roman"/>
          <w:b w:val="false"/>
          <w:i w:val="false"/>
          <w:color w:val="000000"/>
          <w:sz w:val="24"/>
          <w:lang w:val="pl-PL"/>
        </w:rPr>
        <w:t xml:space="preserve"> </w:t>
      </w:r>
      <w:r>
        <w:rPr>
          <w:rFonts w:ascii="Times New Roman"/>
          <w:b w:val="false"/>
          <w:i w:val="false"/>
          <w:color w:val="000000"/>
          <w:sz w:val="24"/>
          <w:lang w:val="pl-PL"/>
        </w:rPr>
        <w:t>koordynacja działań w zakresie wzmacniania zdolności obronnych w przypadku cyberzagrożenia;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zapewnienie współpracy między narodowymi i sojuszniczymi siłami zbrojnymi w zakresie zapewnienia cyberbezpieczeństwa;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384</w:t>
      </w:r>
      <w:r>
        <w:rPr>
          <w:rFonts w:ascii="Times New Roman"/>
          <w:b w:val="false"/>
          <w:i w:val="false"/>
          <w:color w:val="000000"/>
          <w:sz w:val="24"/>
          <w:lang w:val="pl-PL"/>
        </w:rPr>
        <w:t xml:space="preserve"> </w:t>
      </w:r>
      <w:r>
        <w:rPr>
          <w:rFonts w:ascii="Times New Roman"/>
          <w:b w:val="false"/>
          <w:i w:val="false"/>
          <w:color w:val="000000"/>
          <w:sz w:val="24"/>
          <w:lang w:val="pl-PL"/>
        </w:rPr>
        <w:t>rozwijanie systemów wymiany informacji o cyberzagrożeniach w obszarze obrony narodowej;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udział w realizacji celów Organizacji Traktatu Północnoatlantyckiego w obszarze cyberbezpieczeństwa i kryptologii.</w:t>
      </w:r>
    </w:p>
    <w:p>
      <w:pPr>
        <w:spacing w:before="89" w:after="0"/>
        <w:ind w:left="0"/>
        <w:jc w:val="center"/>
        <w:textAlignment w:val="auto"/>
      </w:pPr>
      <w:r>
        <w:rPr>
          <w:rFonts w:ascii="Times New Roman"/>
          <w:b/>
          <w:i w:val="false"/>
          <w:color w:val="000000"/>
          <w:sz w:val="24"/>
          <w:lang w:val="pl-PL"/>
        </w:rPr>
        <w:t xml:space="preserve">Rozdział 10a </w:t>
      </w:r>
      <w:r>
        <w:rPr>
          <w:rFonts w:ascii="Times New Roman"/>
          <w:b/>
          <w:i w:val="false"/>
          <w:color w:val="000000"/>
          <w:sz w:val="24"/>
          <w:vertAlign w:val="superscript"/>
          <w:lang w:val="pl-PL"/>
        </w:rPr>
        <w:t>385</w:t>
      </w:r>
    </w:p>
    <w:p>
      <w:pPr>
        <w:spacing w:before="25" w:after="0"/>
        <w:ind w:left="0"/>
        <w:jc w:val="center"/>
        <w:textAlignment w:val="auto"/>
      </w:pPr>
      <w:r>
        <w:rPr>
          <w:rFonts w:ascii="Times New Roman"/>
          <w:b/>
          <w:i w:val="false"/>
          <w:color w:val="000000"/>
          <w:sz w:val="24"/>
          <w:lang w:val="pl-PL"/>
        </w:rPr>
        <w:t>Zadania ministra właściwego do spraw energii</w:t>
      </w:r>
    </w:p>
    <w:p>
      <w:pPr>
        <w:spacing w:before="80" w:after="0"/>
        <w:ind w:left="0"/>
        <w:jc w:val="left"/>
        <w:textAlignment w:val="auto"/>
      </w:pPr>
      <w:r>
        <w:rPr>
          <w:rFonts w:ascii="Times New Roman"/>
          <w:b/>
          <w:i w:val="false"/>
          <w:color w:val="000000"/>
          <w:sz w:val="24"/>
          <w:lang w:val="pl-PL"/>
        </w:rPr>
        <w:t xml:space="preserve"> Art. 52a.</w:t>
      </w:r>
      <w:r>
        <w:rPr>
          <w:rFonts w:ascii="Times New Roman"/>
          <w:b/>
          <w:i w:val="false"/>
          <w:color w:val="000000"/>
          <w:sz w:val="24"/>
          <w:lang w:val="pl-PL"/>
        </w:rPr>
        <w:t xml:space="preserve"> [Zadania ministra właściwego do spraw energii w zakresie identyfikacji podmiotów o dużym wpływie i podmiotów o krytycznym wpływie]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Organem właściwym,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rozporządzenia 2024/1366, jest minister właściwy do spraw energii.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Właściwy organ, określony w ust. 1, identyfikuje podmioty o dużym wpływie i podmioty o krytycznym wpływie zgodnie z </w:t>
      </w:r>
      <w:r>
        <w:rPr>
          <w:rFonts w:ascii="Times New Roman"/>
          <w:b w:val="false"/>
          <w:i w:val="false"/>
          <w:color w:val="1b1b1b"/>
          <w:sz w:val="24"/>
          <w:lang w:val="pl-PL"/>
        </w:rPr>
        <w:t>art. 24</w:t>
      </w:r>
      <w:r>
        <w:rPr>
          <w:rFonts w:ascii="Times New Roman"/>
          <w:b w:val="false"/>
          <w:i w:val="false"/>
          <w:color w:val="000000"/>
          <w:sz w:val="24"/>
          <w:lang w:val="pl-PL"/>
        </w:rPr>
        <w:t xml:space="preserve"> rozporządzenia 2024/1366. Identyfikacja podmiotu o dużym wpływie lub podmiotu o krytycznym wpływie jest inną czynnością z zakresu administracji publicznej, na którą przysługuje skarga do sądu administracyjnego, i wymaga uzasadnienia.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energii może wystąpić do podmiotu kluczowego lub podmiotu ważnego z podsektora energii elektrycznej o udzielenie informacji, które umożliwią wstępną ocenę, czy dany podmiot należy uznać za podmiot o dużym wpływie lub podmiot o krytycznym wpływie zgodnie z </w:t>
      </w:r>
      <w:r>
        <w:rPr>
          <w:rFonts w:ascii="Times New Roman"/>
          <w:b w:val="false"/>
          <w:i w:val="false"/>
          <w:color w:val="1b1b1b"/>
          <w:sz w:val="24"/>
          <w:lang w:val="pl-PL"/>
        </w:rPr>
        <w:t>art. 24</w:t>
      </w:r>
      <w:r>
        <w:rPr>
          <w:rFonts w:ascii="Times New Roman"/>
          <w:b w:val="false"/>
          <w:i w:val="false"/>
          <w:color w:val="000000"/>
          <w:sz w:val="24"/>
          <w:lang w:val="pl-PL"/>
        </w:rPr>
        <w:t xml:space="preserve"> rozporządzenia 2024/1366. Przepisy art. 53c ust. 1-3 stosuje się odpowiednio.</w:t>
      </w:r>
    </w:p>
    <w:p>
      <w:pPr>
        <w:spacing w:before="80" w:after="0"/>
        <w:ind w:left="0"/>
        <w:jc w:val="left"/>
        <w:textAlignment w:val="auto"/>
      </w:pPr>
      <w:r>
        <w:rPr>
          <w:rFonts w:ascii="Times New Roman"/>
          <w:b/>
          <w:i w:val="false"/>
          <w:color w:val="000000"/>
          <w:sz w:val="24"/>
          <w:lang w:val="pl-PL"/>
        </w:rPr>
        <w:t xml:space="preserve"> Art. 52b.</w:t>
      </w:r>
      <w:r>
        <w:rPr>
          <w:rFonts w:ascii="Times New Roman"/>
          <w:b/>
          <w:i w:val="false"/>
          <w:color w:val="000000"/>
          <w:sz w:val="24"/>
          <w:lang w:val="pl-PL"/>
        </w:rPr>
        <w:t xml:space="preserve"> [Kontrola podmiotów zidentyfikowanych jako podmioty o krytycznym wpływie]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energii prowadzi kontrole podmiotów zidentyfikowanych jako podmioty o krytycznym wpływie, o których mowa w </w:t>
      </w:r>
      <w:r>
        <w:rPr>
          <w:rFonts w:ascii="Times New Roman"/>
          <w:b w:val="false"/>
          <w:i w:val="false"/>
          <w:color w:val="1b1b1b"/>
          <w:sz w:val="24"/>
          <w:lang w:val="pl-PL"/>
        </w:rPr>
        <w:t>rozporządzeniu</w:t>
      </w:r>
      <w:r>
        <w:rPr>
          <w:rFonts w:ascii="Times New Roman"/>
          <w:b w:val="false"/>
          <w:i w:val="false"/>
          <w:color w:val="000000"/>
          <w:sz w:val="24"/>
          <w:lang w:val="pl-PL"/>
        </w:rPr>
        <w:t xml:space="preserve"> 2024/1366.</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kontroli, o której mowa w ust. 1, przepisy art. 54 stosuje się.</w:t>
      </w:r>
    </w:p>
    <w:p>
      <w:pPr>
        <w:spacing w:before="89" w:after="0"/>
        <w:ind w:left="0"/>
        <w:jc w:val="center"/>
        <w:textAlignment w:val="auto"/>
      </w:pPr>
      <w:r>
        <w:rPr>
          <w:rFonts w:ascii="Times New Roman"/>
          <w:b/>
          <w:i w:val="false"/>
          <w:color w:val="000000"/>
          <w:sz w:val="24"/>
          <w:lang w:val="pl-PL"/>
        </w:rPr>
        <w:t xml:space="preserve">Rozdział 10b </w:t>
      </w:r>
      <w:r>
        <w:rPr>
          <w:rFonts w:ascii="Times New Roman"/>
          <w:b/>
          <w:i w:val="false"/>
          <w:color w:val="000000"/>
          <w:sz w:val="24"/>
          <w:vertAlign w:val="superscript"/>
          <w:lang w:val="pl-PL"/>
        </w:rPr>
        <w:t>386</w:t>
      </w:r>
    </w:p>
    <w:p>
      <w:pPr>
        <w:spacing w:before="25" w:after="0"/>
        <w:ind w:left="0"/>
        <w:jc w:val="center"/>
        <w:textAlignment w:val="auto"/>
      </w:pPr>
      <w:r>
        <w:rPr>
          <w:rFonts w:ascii="Times New Roman"/>
          <w:b/>
          <w:i w:val="false"/>
          <w:color w:val="000000"/>
          <w:sz w:val="24"/>
          <w:lang w:val="pl-PL"/>
        </w:rPr>
        <w:t>Zadania ministra właściwego do spraw zagranicznych</w:t>
      </w:r>
    </w:p>
    <w:p>
      <w:pPr>
        <w:spacing w:before="80" w:after="0"/>
        <w:ind w:left="0"/>
        <w:jc w:val="left"/>
        <w:textAlignment w:val="auto"/>
      </w:pPr>
      <w:r>
        <w:rPr>
          <w:rFonts w:ascii="Times New Roman"/>
          <w:b/>
          <w:i w:val="false"/>
          <w:color w:val="000000"/>
          <w:sz w:val="24"/>
          <w:lang w:val="pl-PL"/>
        </w:rPr>
        <w:t xml:space="preserve"> Art. 52c.</w:t>
      </w:r>
      <w:r>
        <w:rPr>
          <w:rFonts w:ascii="Times New Roman"/>
          <w:b/>
          <w:i w:val="false"/>
          <w:color w:val="000000"/>
          <w:sz w:val="24"/>
          <w:lang w:val="pl-PL"/>
        </w:rPr>
        <w:t xml:space="preserve"> [Prowadzenie i koordynacja działalności dyplomatycznej w zakresie cyberbezpieczeństwa]</w:t>
      </w:r>
    </w:p>
    <w:p>
      <w:pPr>
        <w:spacing w:after="0"/>
        <w:ind w:left="0"/>
        <w:jc w:val="left"/>
        <w:textAlignment w:val="auto"/>
      </w:pPr>
      <w:r>
        <w:rPr>
          <w:rFonts w:ascii="Times New Roman"/>
          <w:b w:val="false"/>
          <w:i w:val="false"/>
          <w:color w:val="000000"/>
          <w:sz w:val="24"/>
          <w:lang w:val="pl-PL"/>
        </w:rPr>
        <w:t>Minister właściwy do spraw zagranicznych prowadzi i koordynuje działalność dyplomatyczną w zakresie cyberbezpieczeństwa w stosunkach z państwami trzecimi i organizacjami międzynarodowymi.</w:t>
      </w:r>
    </w:p>
    <w:p>
      <w:pPr>
        <w:spacing w:before="80" w:after="0"/>
        <w:ind w:left="0"/>
        <w:jc w:val="left"/>
        <w:textAlignment w:val="auto"/>
      </w:pPr>
      <w:r>
        <w:rPr>
          <w:rFonts w:ascii="Times New Roman"/>
          <w:b/>
          <w:i w:val="false"/>
          <w:color w:val="000000"/>
          <w:sz w:val="24"/>
          <w:lang w:val="pl-PL"/>
        </w:rPr>
        <w:t xml:space="preserve"> Art. 52d.</w:t>
      </w:r>
      <w:r>
        <w:rPr>
          <w:rFonts w:ascii="Times New Roman"/>
          <w:b/>
          <w:i w:val="false"/>
          <w:color w:val="000000"/>
          <w:sz w:val="24"/>
          <w:lang w:val="pl-PL"/>
        </w:rPr>
        <w:t xml:space="preserve"> [Informacje przekazywane ministrowi właściwemu do spraw zagranicznych przez ministra właściwego do spraw informatyzacji]</w:t>
      </w:r>
    </w:p>
    <w:p>
      <w:pPr>
        <w:spacing w:after="0"/>
        <w:ind w:left="0"/>
        <w:jc w:val="left"/>
        <w:textAlignment w:val="auto"/>
      </w:pPr>
      <w:r>
        <w:rPr>
          <w:rFonts w:ascii="Times New Roman"/>
          <w:b w:val="false"/>
          <w:i w:val="false"/>
          <w:color w:val="000000"/>
          <w:sz w:val="24"/>
          <w:lang w:val="pl-PL"/>
        </w:rPr>
        <w:t>Minister właściwy do spraw informatyzacji przekazuje ministrowi właściwemu do spraw zagranicznych, z wyłączeniem danych osobowych: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odebrane i wysyłane przez Pojedynczy Punkt Kontaktowy, o wystąpieniu incydentu dotyczącego innych państw wraz z krótkim opisem i wskazaniem wszystkich państw, których dotyczył incydent;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sprawozdanie, o którym mowa w art. 49 ust. 6;</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informacje pochodzące z Grupy Współpracy, o których mowa w art. 49 ust. 3 pkt 4-6;</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o których mowa w art. 49 ust. 1;</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informacje, odebrane i wysyłane przez Pojedynczy Punkt Kontaktowy, dotyczące sytuacji kryzysowych w cyberprzestrzeni.</w:t>
      </w:r>
    </w:p>
    <w:p>
      <w:pPr>
        <w:spacing w:before="89" w:after="0"/>
        <w:ind w:left="0"/>
        <w:jc w:val="center"/>
        <w:textAlignment w:val="auto"/>
      </w:pPr>
      <w:r>
        <w:rPr>
          <w:rFonts w:ascii="Times New Roman"/>
          <w:b/>
          <w:i w:val="false"/>
          <w:color w:val="000000"/>
          <w:sz w:val="24"/>
          <w:lang w:val="pl-PL"/>
        </w:rPr>
        <w:t xml:space="preserve">Rozdział 10c </w:t>
      </w:r>
      <w:r>
        <w:rPr>
          <w:rFonts w:ascii="Times New Roman"/>
          <w:b/>
          <w:i w:val="false"/>
          <w:color w:val="000000"/>
          <w:sz w:val="24"/>
          <w:vertAlign w:val="superscript"/>
          <w:lang w:val="pl-PL"/>
        </w:rPr>
        <w:t>387</w:t>
      </w:r>
    </w:p>
    <w:p>
      <w:pPr>
        <w:spacing w:before="25" w:after="0"/>
        <w:ind w:left="0"/>
        <w:jc w:val="center"/>
        <w:textAlignment w:val="auto"/>
      </w:pPr>
      <w:r>
        <w:rPr>
          <w:rFonts w:ascii="Times New Roman"/>
          <w:b/>
          <w:i w:val="false"/>
          <w:color w:val="000000"/>
          <w:sz w:val="24"/>
          <w:lang w:val="pl-PL"/>
        </w:rPr>
        <w:t>Organy odpowiedzialne za zarządzanie incydentami i zarządzanie kryzysowe w cyberbezpieczeństwie na dużą skalę</w:t>
      </w:r>
    </w:p>
    <w:p>
      <w:pPr>
        <w:spacing w:before="80" w:after="0"/>
        <w:ind w:left="0"/>
        <w:jc w:val="left"/>
        <w:textAlignment w:val="auto"/>
      </w:pPr>
      <w:r>
        <w:rPr>
          <w:rFonts w:ascii="Times New Roman"/>
          <w:b/>
          <w:i w:val="false"/>
          <w:color w:val="000000"/>
          <w:sz w:val="24"/>
          <w:lang w:val="pl-PL"/>
        </w:rPr>
        <w:t xml:space="preserve"> Art. 52e.</w:t>
      </w:r>
      <w:r>
        <w:rPr>
          <w:rFonts w:ascii="Times New Roman"/>
          <w:b/>
          <w:i w:val="false"/>
          <w:color w:val="000000"/>
          <w:sz w:val="24"/>
          <w:lang w:val="pl-PL"/>
        </w:rPr>
        <w:t xml:space="preserve"> [Organ odpowiedzialny za zarządzanie incydentami i zarządzanie kryzysowe w cyberbezpieczeństwie na dużą skalę w wymiarze cywilnym]</w:t>
      </w:r>
    </w:p>
    <w:p>
      <w:pPr>
        <w:spacing w:after="0"/>
        <w:ind w:left="0"/>
        <w:jc w:val="left"/>
        <w:textAlignment w:val="auto"/>
      </w:pPr>
      <w:r>
        <w:rPr>
          <w:rFonts w:ascii="Times New Roman"/>
          <w:b w:val="false"/>
          <w:i w:val="false"/>
          <w:color w:val="000000"/>
          <w:sz w:val="24"/>
          <w:lang w:val="pl-PL"/>
        </w:rPr>
        <w:t>Minister właściwy do spraw informatyzacji pełni rolę organu odpowiedzialnego za zarządzanie incydentami i zarządzanie kryzysowe w cyberbezpieczeństwie na dużą skalę w wymiarze cywilnym, z wyłączeniem spraw dotyczących zagrożeń terrorystycznych oraz zagrożeń związanych ze szpiegostwem.</w:t>
      </w:r>
    </w:p>
    <w:p>
      <w:pPr>
        <w:spacing w:before="80" w:after="0"/>
        <w:ind w:left="0"/>
        <w:jc w:val="left"/>
        <w:textAlignment w:val="auto"/>
      </w:pPr>
      <w:r>
        <w:rPr>
          <w:rFonts w:ascii="Times New Roman"/>
          <w:b/>
          <w:i w:val="false"/>
          <w:color w:val="000000"/>
          <w:sz w:val="24"/>
          <w:lang w:val="pl-PL"/>
        </w:rPr>
        <w:t xml:space="preserve"> Art. 52f.</w:t>
      </w:r>
      <w:r>
        <w:rPr>
          <w:rFonts w:ascii="Times New Roman"/>
          <w:b/>
          <w:i w:val="false"/>
          <w:color w:val="000000"/>
          <w:sz w:val="24"/>
          <w:lang w:val="pl-PL"/>
        </w:rPr>
        <w:t xml:space="preserve"> [Organ odpowiedzialny za zarządzanie incydentami i zarządzanie kryzysowe w cyberbezpieczeństwie na dużą skalę w wymiarze militarnym]</w:t>
      </w:r>
    </w:p>
    <w:p>
      <w:pPr>
        <w:spacing w:after="0"/>
        <w:ind w:left="0"/>
        <w:jc w:val="left"/>
        <w:textAlignment w:val="auto"/>
      </w:pPr>
      <w:r>
        <w:rPr>
          <w:rFonts w:ascii="Times New Roman"/>
          <w:b w:val="false"/>
          <w:i w:val="false"/>
          <w:color w:val="000000"/>
          <w:sz w:val="24"/>
          <w:lang w:val="pl-PL"/>
        </w:rPr>
        <w:t>Minister Obrony Narodowej pełni rolę organu odpowiedzialnego za zarządzanie incydentami i zarządzanie kryzysowe w cyberbezpieczeństwie na dużą skalę w wymiarze militarnym.</w:t>
      </w:r>
    </w:p>
    <w:p>
      <w:pPr>
        <w:spacing w:before="80" w:after="0"/>
        <w:ind w:left="0"/>
        <w:jc w:val="left"/>
        <w:textAlignment w:val="auto"/>
      </w:pPr>
      <w:r>
        <w:rPr>
          <w:rFonts w:ascii="Times New Roman"/>
          <w:b/>
          <w:i w:val="false"/>
          <w:color w:val="000000"/>
          <w:sz w:val="24"/>
          <w:lang w:val="pl-PL"/>
        </w:rPr>
        <w:t xml:space="preserve"> Art. 52g.</w:t>
      </w:r>
      <w:r>
        <w:rPr>
          <w:rFonts w:ascii="Times New Roman"/>
          <w:b/>
          <w:i w:val="false"/>
          <w:color w:val="000000"/>
          <w:sz w:val="24"/>
          <w:lang w:val="pl-PL"/>
        </w:rPr>
        <w:t xml:space="preserve"> [Organ odpowiedzialny za zarządzanie incydentami i zarządzanie kryzysowe w cyberbezpieczeństwie na dużą skalę w wymiarze cywilnym w sprawach dotyczących zagrożeń terrorystycznych oraz zagrożeń związanych ze szpiegostwem]</w:t>
      </w:r>
    </w:p>
    <w:p>
      <w:pPr>
        <w:spacing w:after="0"/>
        <w:ind w:left="0"/>
        <w:jc w:val="left"/>
        <w:textAlignment w:val="auto"/>
      </w:pPr>
      <w:r>
        <w:rPr>
          <w:rFonts w:ascii="Times New Roman"/>
          <w:b w:val="false"/>
          <w:i w:val="false"/>
          <w:color w:val="000000"/>
          <w:sz w:val="24"/>
          <w:lang w:val="pl-PL"/>
        </w:rPr>
        <w:t>Szef Agencji Bezpieczeństwa Wewnętrznego pełni rolę organu odpowiedzialnego za zarządzanie incydentami i zarządzanie kryzysowe w cyberbezpieczeństwie na dużą skalę w wymiarze cywilnym w sprawach dotyczących zagrożeń terrorystycznych oraz zagrożeń związanych ze szpiegostwem.</w:t>
      </w:r>
    </w:p>
    <w:p>
      <w:pPr>
        <w:spacing w:before="80" w:after="0"/>
        <w:ind w:left="0"/>
        <w:jc w:val="left"/>
        <w:textAlignment w:val="auto"/>
      </w:pPr>
      <w:r>
        <w:rPr>
          <w:rFonts w:ascii="Times New Roman"/>
          <w:b/>
          <w:i w:val="false"/>
          <w:color w:val="000000"/>
          <w:sz w:val="24"/>
          <w:lang w:val="pl-PL"/>
        </w:rPr>
        <w:t xml:space="preserve"> Art. 52h.</w:t>
      </w:r>
      <w:r>
        <w:rPr>
          <w:rFonts w:ascii="Times New Roman"/>
          <w:b/>
          <w:i w:val="false"/>
          <w:color w:val="000000"/>
          <w:sz w:val="24"/>
          <w:lang w:val="pl-PL"/>
        </w:rPr>
        <w:t xml:space="preserve"> [Organ odpowiedzialny za koordynację działań organów państwa zgodnie z Krajowym planem reagowania na incydenty i sytuacje kryzysowe w cyberbezpieczeństwie na dużą skalę]</w:t>
      </w:r>
    </w:p>
    <w:p>
      <w:pPr>
        <w:spacing w:after="0"/>
        <w:ind w:left="0"/>
        <w:jc w:val="left"/>
        <w:textAlignment w:val="auto"/>
      </w:pPr>
      <w:r>
        <w:rPr>
          <w:rFonts w:ascii="Times New Roman"/>
          <w:b w:val="false"/>
          <w:i w:val="false"/>
          <w:color w:val="000000"/>
          <w:sz w:val="24"/>
          <w:lang w:val="pl-PL"/>
        </w:rPr>
        <w:t>Organ odpowiedzialny za zarządzanie incydentami i zarządzanie kryzysowe w cyberbezpieczeństwie na dużą skalę koordynuje działania organów państwa zgodnie z Krajowym planem.</w:t>
      </w:r>
    </w:p>
    <w:p>
      <w:pPr>
        <w:spacing w:before="89" w:after="0"/>
        <w:ind w:left="0"/>
        <w:jc w:val="center"/>
        <w:textAlignment w:val="auto"/>
      </w:pPr>
      <w:r>
        <w:rPr>
          <w:rFonts w:ascii="Times New Roman"/>
          <w:b/>
          <w:i w:val="false"/>
          <w:color w:val="000000"/>
          <w:sz w:val="24"/>
          <w:lang w:val="pl-PL"/>
        </w:rPr>
        <w:t>Rozdział 11</w:t>
      </w:r>
    </w:p>
    <w:p>
      <w:pPr>
        <w:spacing w:before="25" w:after="0"/>
        <w:ind w:left="0"/>
        <w:jc w:val="center"/>
        <w:textAlignment w:val="auto"/>
      </w:pPr>
      <w:r>
        <w:rPr>
          <w:rFonts w:ascii="Times New Roman"/>
          <w:b/>
          <w:i w:val="false"/>
          <w:color w:val="000000"/>
          <w:sz w:val="24"/>
          <w:lang w:val="pl-PL"/>
        </w:rPr>
        <w:t xml:space="preserve">Nadzór i kontrola podmiotów kluczowych lub podmiotów ważnych </w:t>
      </w:r>
      <w:r>
        <w:rPr>
          <w:rFonts w:ascii="Times New Roman"/>
          <w:b/>
          <w:i w:val="false"/>
          <w:color w:val="000000"/>
          <w:sz w:val="24"/>
          <w:vertAlign w:val="superscript"/>
          <w:lang w:val="pl-PL"/>
        </w:rPr>
        <w:t>388</w:t>
      </w:r>
    </w:p>
    <w:p>
      <w:pPr>
        <w:spacing w:before="80" w:after="0"/>
        <w:ind w:left="0"/>
        <w:jc w:val="left"/>
        <w:textAlignment w:val="auto"/>
      </w:pPr>
      <w:r>
        <w:rPr>
          <w:rFonts w:ascii="Times New Roman"/>
          <w:b/>
          <w:i w:val="false"/>
          <w:color w:val="000000"/>
          <w:sz w:val="24"/>
          <w:lang w:val="pl-PL"/>
        </w:rPr>
        <w:t xml:space="preserve"> Art. 53. </w:t>
      </w:r>
      <w:r>
        <w:rPr>
          <w:rFonts w:ascii="Times New Roman"/>
          <w:b/>
          <w:i w:val="false"/>
          <w:color w:val="000000"/>
          <w:sz w:val="24"/>
          <w:vertAlign w:val="superscript"/>
          <w:lang w:val="pl-PL"/>
        </w:rPr>
        <w:t>389</w:t>
      </w:r>
      <w:r>
        <w:rPr>
          <w:rFonts w:ascii="Times New Roman"/>
          <w:b/>
          <w:i w:val="false"/>
          <w:color w:val="000000"/>
          <w:sz w:val="24"/>
          <w:lang w:val="pl-PL"/>
        </w:rPr>
        <w:t xml:space="preserve"> </w:t>
      </w:r>
      <w:r>
        <w:rPr>
          <w:rFonts w:ascii="Times New Roman"/>
          <w:b/>
          <w:i w:val="false"/>
          <w:color w:val="000000"/>
          <w:sz w:val="24"/>
          <w:lang w:val="pl-PL"/>
        </w:rPr>
        <w:t>[Podmioty sprawujące nadzór; działania podejmowane w ramach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Nadzór dotyczący stosowania przepisów ustawy sprawują organy właściwe do spraw cyberbezpieczeństwa w zakresie wykonywania przez podmioty kluczowe i podmioty ważne wynikających z ustawy obowiązków.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ramach nadzoru, o którym mowa w ust. 1, organ właściwy do spraw cyberbezpieczeństwa w stosunku do podmiotów kluczowych może: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prowadzić kontrole, w tym doraźne, w siedzibie podmiotu, miejscu wykonywania działalności gospodarczej lub zdalnie;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drodze decyzji nałożyć na podmiot obowiązek przeprowadzania audytu, o którym mowa w art. 15 ust. 1b, w szczególności w sytuacji wystąpienia poważnego incydentu lub naruszenia przepisów ustawy;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zlecić CSIRT MON, CSIRT NASK, CSIRT GOV lub CSIRT sektorowemu, dokonanie oceny bezpieczeństwa systemu informacyjnego podmiotu kluczowego;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wystąpić z wnioskiem o udzielenie informacji niezbędnych do oceny środków, o których mowa w art. 8 ust. 1 pkt 2 i 5, a także zgodności danych i informacji przekazanych przez podmiot do wykazu;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wystąpić z wnioskiem o udzielenie dostępu do danych, dokumentów i informacji koniecznych do wykonywania nadzoru;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wystąpić z wnioskiem o przedstawienie dowodów realizacji wymogów, o których mowa w art. 8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za pomocą działań nadzorczych sprawują nadzór o charakterze: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prewencyjnym i następczym nad podmiotami kluczowymi;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następczym nad podmiotami ważnymi, w szczególności w przypadku uzasadnionego podejrzenia, że zachodzi możliwość naruszenia przepisów ustawy.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uzasadnionego podejrzenia, że działania lub zaniechania podmiotu kluczowego mogą naruszać przepisy ustawy, organ właściwy do spraw cyberbezpieczeństwa kieruje do tego podmiotu pismo w formie elektronicznej z ostrzeżeniem, w którym wskazuje czynności, jakie należy podjąć w celu zapobieżenia lub zaprzestania naruszania przepisów ustawy oraz termin na ich wykonanie.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celu egzekwowania przepisów ustawy organ właściwy do spraw cyberbezpieczeństwa w stosunku do podmiotów kluczowych, także wtedy gdy podmiot kluczowy nie zastosował się do pisma z ostrzeżeniem, o którym mowa w ust. 4, może: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nakazać podjęcie określonych czynności dotyczących obsługi incydentu;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nakazać, w drodze decyzji, zaniechanie naruszania przepisów ustawy;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nakazać, w drodze decyzji, zapewnienie zgodności systemu zarządzania bezpieczeństwem informacji zgodnie z art. 8 ust. 1 pkt 2 lub zgodnie z art. 8 ust. 3 lub realizacji obowiązku zgłaszania incydentu poważnego;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nakazać, w drodze decyzji, poinformowanie, w określony przez niego sposób, odbiorców usług tego podmiotu, których dotyczy poważne cyberzagrożenie, o charakterze tego zagrożenia oraz o możliwych środkach ochronnych lub naprawczych, jakie należy podjąć w reakcji na to zagrożenie;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nakazać, w drodze decyzji, wdrożenie, w określonym terminie, zaleceń wydanych w wyniku audytu lub audytu, o którym mowa w art. 15 ust. 1b;</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wyznaczyć, w drodze decyzji, na określony czas, niedłuższy niż miesiąc, spośród osób zatrudnionych w urzędzie obsługującym ten organ, urzędnika monitorującego do nadzorowania wykonywania obowiązków, o których mowa w rozdziale 3, wskazując ściśle określone zadania, które urzędnik monitorujący realizuje w tym czasie;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nakazać, w drodze decyzji, podanie do wiadomości publicznej informacji o naruszeniach przepisów ustawy;</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nakazać, w drodze decyzji wydanej w postępowaniu uproszczonym, o którym mowa w rozdziale 14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podanie do publicznej wiadomości informacji o incydencie poważnym.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podejmując działania, o których mowa w ust. 5, wyznacza podmiotowi kluczowemu termin, w którym zobowiązuje ten podmiot do podjęcia określonych czynności, usunięcia uchybień lub zapewnienia zgodności z wymogami określonymi przez organ.</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Nakaz, o którym mowa w ust. 5 pkt 1, jest inną czynnością z zakresu administracji publicznej, na którą przysługuje skarga do sądu administracyjnego i wymaga uzasadnienia.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Postępowanie w sprawach, o którym mowa w ust. 5 pkt 2-8, jest jednoinstancyjne, a na decyzję organu właściwego do spraw cyberbezpieczeństwa przysługuje skarga do sądu administracyjnego.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w przypadku gdy podmiot kluczowy nie zastosował się do nakazu, o którym mowa w ust. 5 pkt 1, lub postanowień decyzji, o której mowa w ust. 5 pkt 2-8, może: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wstrzymać udzieloną temu podmiotowi koncesję albo ograniczyć jej zakres do czasu usunięcia uchybień lub zaprzestania naruszeń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wstrzymać w całości albo w części działalność podmiotu kluczowego wpisanego do rejestru działalności regulowanej, do czasu usunięcia uchybień lub zaprzestania naruszeń,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wstrzymać zezwolenie na prowadzenie działalności gospodarczej wydane podmiotowi kluczowemu albo ograniczyć zakres tego zezwolenia do czasu usunięcia uchybień lub zaprzestania naruszeń, lub</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wstrzymać w całości albo w części działalność podmiotu kluczowego, wpisanego do Centralnej Ewidencji i Informacji o Działalności Gospodarczej, do czasu usunięcia uchybień lub zaprzestania naruszeń, lub</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wstrzymać w całości albo w części działalność podmiotu kluczowego, wpisanego do rejestru przedsiębiorców Krajowego Rejestru Sądowego, do czasu usunięcia uchybień lub zaprzestania naruszeń, lub</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zakazać pełnienia w podmiocie kluczowym funkcji zarządczych przez kierownika podmiotu do czasu usunięcia uchybień lub zaprzestania naruszeń, o ile nie doprowadzi to do uniemożliwienia funkcjonowania podmiotu kluczowego w zakresie, jaki jest niezbędny do usunięcia uchybień lub zaprzestania naruszeń.</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Środków, o których mowa w ust. 9, nie stosuje się do podmiotów publicznych.</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wniesienia przez podmiot kluczowy skargi do sądu administracyjnego, o której mowa w ust. 7 lub 8, środków, o których mowa w ust. 9, nie stosuje się do czasu rozstrzygnięcia sprawy przez ten sąd. Sąd rozstrzyga sprawę w terminie miesiąca od dnia wniesienia skargi.</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podejmując działania, o których mowa w ust. 5 i 9, uwzględnia: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wagę naruszenia i znaczenie naruszonych przepisów ustawy, przy czym za poważne naruszenie należy uznać:</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powtarzające się naruszenie,</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niezgłoszenie lub nieobsłużenie incydentów poważnych,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nieusunięcie uchybień zgodnie z wiążącymi nakazami organów właściwych do spraw cyberbezpieczeństwa,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utrudnianie prowadzenia audytów lub działań monitorujących nakazanych przez organ właściwy do spraw cyberbezpieczeństwa po stwierdzeniu naruszenia,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dostarczanie nieprawdziwych lub rażąco niedokładnych informacji w odniesieniu do środków zarządzania ryzykiem w cyberbezpieczeństwie lub obowiązków zgłaszania incydentów poważnych;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czas trwania naruszenia;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wcześniejsze poważne naruszenia ze strony danego podmiotu;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spowodowane szkody majątkowe i niemajątkowe, w tym straty finansowe lub gospodarcze, wpływ na inne usługi i liczbę użytkowników, których dotyka incydent;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umyślny lub nieumyślny charakter czynu ze strony sprawcy naruszenia;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środki zastosowane przez podmiot, aby zapobiec szkodom majątkowym i niemajątkowym lub je ograniczyć;</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stopień współpracy podmiotu z organem właściwym do spraw cyberbezpieczeństwa.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przed zastosowaniem środków, o których mowa w ust. 4, 5 i 9, oraz przed nałożeniem kary pieniężnej, informuje podmiot kluczowy o wstępnych ustaleniach, które mogą prowadzić do wydania decyzji lub podjęcia działań, o których mowa w ust. 4, 5 i 9, lub do nałożenia kary pieniężnej. Informacja o wstępnych ustaleniach zawiera szczegółowe uzasadnienie, potwierdzające zasadność zamiaru zastosowania środków lub nałożenia kary pieniężnej.</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Podmiot kluczowy może przedstawić swoje stanowisko niezwłocznie, niepóźniej niż w terminie 7 dni od dnia poinformowania o wstępnych ustaleniach, o których mowa w ust. 13.</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po przedstawieniu przez podmiot kluczowy swojego stanowiska: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uwzględnia stanowisko tego podmiotu i odstępuje od zastosowania środków, o których mowa w ust. 4, 5 lub 9, lub od nałożenia kary pieniężnej, oraz informuje podmiot o tym fakcie;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odrzuca stanowisko tego podmiotu i stosuje środki, o których mowa w ust. 4, 5 lub 9, lub nakłada karę pieniężną, oraz informuje podmiot o tym fakcie wraz ze szczegółowym uzasadnieniem przyczyn odrzucenia stanowiska podmiotu.</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odstąpić od poinformowania o wstępnych ustaleniach w przypadku, gdy utrudniłoby to natychmiastowe działanie w celu zapobieżenia incydentom, reakcji na nie lub mogłoby mieć niekorzystny wpływ na bezpieczeństwo państwa lub porządek publiczny.</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sprawując nadzór w stosunku do podmiotu ważnego stosuje przepisy ust. 2, 4, 5 pkt 1-5 i 7-8 oraz ust. 6-8 i 12-16.</w:t>
      </w:r>
    </w:p>
    <w:p>
      <w:pPr>
        <w:spacing w:before="80" w:after="0"/>
        <w:ind w:left="0"/>
        <w:jc w:val="left"/>
        <w:textAlignment w:val="auto"/>
      </w:pPr>
      <w:r>
        <w:rPr>
          <w:rFonts w:ascii="Times New Roman"/>
          <w:b/>
          <w:i w:val="false"/>
          <w:color w:val="000000"/>
          <w:sz w:val="24"/>
          <w:lang w:val="pl-PL"/>
        </w:rPr>
        <w:t xml:space="preserve"> Art. 53a. </w:t>
      </w:r>
      <w:r>
        <w:rPr>
          <w:rFonts w:ascii="Times New Roman"/>
          <w:b/>
          <w:i w:val="false"/>
          <w:color w:val="000000"/>
          <w:sz w:val="24"/>
          <w:vertAlign w:val="superscript"/>
          <w:lang w:val="pl-PL"/>
        </w:rPr>
        <w:t>390</w:t>
      </w:r>
      <w:r>
        <w:rPr>
          <w:rFonts w:ascii="Times New Roman"/>
          <w:b/>
          <w:i w:val="false"/>
          <w:color w:val="000000"/>
          <w:sz w:val="24"/>
          <w:lang w:val="pl-PL"/>
        </w:rPr>
        <w:t xml:space="preserve"> </w:t>
      </w:r>
      <w:r>
        <w:rPr>
          <w:rFonts w:ascii="Times New Roman"/>
          <w:b/>
          <w:i w:val="false"/>
          <w:color w:val="000000"/>
          <w:sz w:val="24"/>
          <w:lang w:val="pl-PL"/>
        </w:rPr>
        <w:t>[Metodyki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mogą tworzyć, samodzielnie lub wspólnie, metodyki nadzoru dotyczące prowadzenia nadzoru nad podmiotami kluczowymi lub podmiotami ważnymi w zakresie stosowania przepisów ustawy.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Metodyki nadzoru określają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nadzoru;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przeprowadzania nadzoru;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kryteria oceny.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stworzenia metodyki nadzoru organy właściwe do spraw cyberbezpieczeństwa co dwa lata oceniają skuteczność stosowania tej metodyki nadzoru, w szczególności oceniając efektywność sprawowanego nadzoru.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podstawie oceny skuteczności organy właściwe do spraw cyberbezpieczeństwa dokonują zmian w metodykach nadzoru.</w:t>
      </w:r>
    </w:p>
    <w:p>
      <w:pPr>
        <w:spacing w:before="80" w:after="0"/>
        <w:ind w:left="0"/>
        <w:jc w:val="left"/>
        <w:textAlignment w:val="auto"/>
      </w:pPr>
      <w:r>
        <w:rPr>
          <w:rFonts w:ascii="Times New Roman"/>
          <w:b/>
          <w:i w:val="false"/>
          <w:color w:val="000000"/>
          <w:sz w:val="24"/>
          <w:lang w:val="pl-PL"/>
        </w:rPr>
        <w:t xml:space="preserve"> Art. 53b. </w:t>
      </w:r>
      <w:r>
        <w:rPr>
          <w:rFonts w:ascii="Times New Roman"/>
          <w:b/>
          <w:i w:val="false"/>
          <w:color w:val="000000"/>
          <w:sz w:val="24"/>
          <w:vertAlign w:val="superscript"/>
          <w:lang w:val="pl-PL"/>
        </w:rPr>
        <w:t>391</w:t>
      </w:r>
      <w:r>
        <w:rPr>
          <w:rFonts w:ascii="Times New Roman"/>
          <w:b/>
          <w:i w:val="false"/>
          <w:color w:val="000000"/>
          <w:sz w:val="24"/>
          <w:lang w:val="pl-PL"/>
        </w:rPr>
        <w:t xml:space="preserve"> </w:t>
      </w:r>
      <w:r>
        <w:rPr>
          <w:rFonts w:ascii="Times New Roman"/>
          <w:b/>
          <w:i w:val="false"/>
          <w:color w:val="000000"/>
          <w:sz w:val="24"/>
          <w:lang w:val="pl-PL"/>
        </w:rPr>
        <w:t>[Ustalenie hierarchii priorytetów w sprawowaniu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mogą ustalać hierarchię priorytetów w sprawowaniu nadzoru w oparciu o metodykę nadzoru, o której mowa w art. 53a ust. 1, uwzględniając w szczególności wyniki analizy ryzyka dla konkretnego podmiotu kluczowego lub podmiotu ważnego.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Analiza ryzyka przeprowadzana jest przez organ właściwy do spraw cyberbezpieczeństwa i uwzględnia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znaczenie usługi dla bezpieczeństwa narodowego i porządku publicznego;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wpływ usługi na gospodarkę i społeczeństwo;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prawdopodobieństwo wystąpienia incydentu w podmiocie nadzorowanym oraz rodzaj tego incydentu;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potencjalne skutki incydentu takie jak straty finansowe, szkody wizerunkowe, utrata danych osobowych lub zakłócenia w funkcjonowaniu systemów i infrastruktury.</w:t>
      </w:r>
    </w:p>
    <w:p>
      <w:pPr>
        <w:spacing w:before="80" w:after="0"/>
        <w:ind w:left="0"/>
        <w:jc w:val="left"/>
        <w:textAlignment w:val="auto"/>
      </w:pPr>
      <w:r>
        <w:rPr>
          <w:rFonts w:ascii="Times New Roman"/>
          <w:b/>
          <w:i w:val="false"/>
          <w:color w:val="000000"/>
          <w:sz w:val="24"/>
          <w:lang w:val="pl-PL"/>
        </w:rPr>
        <w:t xml:space="preserve"> Art. 53c. </w:t>
      </w:r>
      <w:r>
        <w:rPr>
          <w:rFonts w:ascii="Times New Roman"/>
          <w:b/>
          <w:i w:val="false"/>
          <w:color w:val="000000"/>
          <w:sz w:val="24"/>
          <w:vertAlign w:val="superscript"/>
          <w:lang w:val="pl-PL"/>
        </w:rPr>
        <w:t>392</w:t>
      </w:r>
      <w:r>
        <w:rPr>
          <w:rFonts w:ascii="Times New Roman"/>
          <w:b/>
          <w:i w:val="false"/>
          <w:color w:val="000000"/>
          <w:sz w:val="24"/>
          <w:lang w:val="pl-PL"/>
        </w:rPr>
        <w:t xml:space="preserve"> </w:t>
      </w:r>
      <w:r>
        <w:rPr>
          <w:rFonts w:ascii="Times New Roman"/>
          <w:b/>
          <w:i w:val="false"/>
          <w:color w:val="000000"/>
          <w:sz w:val="24"/>
          <w:lang w:val="pl-PL"/>
        </w:rPr>
        <w:t>[Obowiązki informacyjne ciążące na podmiotach kluczowych i podmiotach ważnych]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kluczowy lub podmiot ważny przekazuje na żądanie organu właściwego do spraw cyberbezpieczeństwa dane, informacje i dokumenty niezbędne do wykonywania przez ten organ jego uprawnień i obowiązków z zakresu sprawowania nadzoru i kontroli określonych w ustawie.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Żądanie, o którym mowa w ust. 1, ma być proporcjonalne do celu, jakiemu ma służyć, oraz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podmiotu kluczowego lub podmiotu ważnego, do którego jest skierowane;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żądania;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żądanych danych, informacji lub dokumentów oraz okresu, których dotyczą;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celu, jakiemu dane, informacje lub dokumenty mają służyć;</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wskazanie terminu przekazania danych, informacji lub dokumentów adekwatnego do zakresu tego żądania, niekrótszego niż 7 dni;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uzasadnienie żądania;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pouczenie o zagrożeniu karą za niespełnienie żądania, o którym mowa w ust.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Żądanie, o którym mowa w ust. 1, sporządza się w postaci elektronicznej i doręcza się w sposób określony w dziale I rozdziale 8 ustawy z dnia 14 czerwca 1960 r. - Kodeks postępowania administracyjnego albo przez system teleinformatyczny, o którym mowa w art. 46 ust. 1 pkt 6.</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Przepisy ust. 1-3 stosuje się odpowiednio do żądania udzielenia dostępu do danych, dokumentów i informacji koniecznych do wykonania nadzoru oraz dowodów realizacji wymogów, o których mowa w art. 8 ust. 1.</w:t>
      </w:r>
    </w:p>
    <w:p>
      <w:pPr>
        <w:spacing w:before="80" w:after="0"/>
        <w:ind w:left="0"/>
        <w:jc w:val="left"/>
        <w:textAlignment w:val="auto"/>
      </w:pPr>
      <w:r>
        <w:rPr>
          <w:rFonts w:ascii="Times New Roman"/>
          <w:b/>
          <w:i w:val="false"/>
          <w:color w:val="000000"/>
          <w:sz w:val="24"/>
          <w:lang w:val="pl-PL"/>
        </w:rPr>
        <w:t xml:space="preserve"> Art. 53d. </w:t>
      </w:r>
      <w:r>
        <w:rPr>
          <w:rFonts w:ascii="Times New Roman"/>
          <w:b/>
          <w:i w:val="false"/>
          <w:color w:val="000000"/>
          <w:sz w:val="24"/>
          <w:vertAlign w:val="superscript"/>
          <w:lang w:val="pl-PL"/>
        </w:rPr>
        <w:t>393</w:t>
      </w:r>
      <w:r>
        <w:rPr>
          <w:rFonts w:ascii="Times New Roman"/>
          <w:b/>
          <w:i w:val="false"/>
          <w:color w:val="000000"/>
          <w:sz w:val="24"/>
          <w:lang w:val="pl-PL"/>
        </w:rPr>
        <w:t xml:space="preserve"> </w:t>
      </w:r>
      <w:r>
        <w:rPr>
          <w:rFonts w:ascii="Times New Roman"/>
          <w:b/>
          <w:i w:val="false"/>
          <w:color w:val="000000"/>
          <w:sz w:val="24"/>
          <w:lang w:val="pl-PL"/>
        </w:rPr>
        <w:t>[Uprawnienia urzędnika monitorującego]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Urzędnik monitorujący, o którym mowa w art. 53 ust. 5 pkt 6, w zakresie nadzorowania wykonywania przez podmiot kluczowy obowiązków, o których mowa w rozdziale 3, jest uprawniony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swobodnego wstępu i poruszania się po terenie podmiotu kluczowego po uzyskaniu przepustki, wydanej bezzwłocznie, której wydania nie można odmówić;</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wglądu do dokumentów dotyczących działalności podmiotu kluczowego;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przetwarzania danych osobowych w zakresie niezbędnym do realizacji celu nadzoru;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żądania złożenia ustnych lub pisemnych wyjaśnień w sprawach dotyczących zakresu nadzoru;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przeprowadzania oględzin urządzeń, nośników oraz systemów informacyjnych, po wcześniejszym zawiadomieniu podmiotu kluczowego.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Urzędnik monitorujący, o którym mowa w art. 53 ust. 5 pkt 6, realizuje powierzone mu zadania z zachowaniem przepisów o tajemnicy prawnie chronionej.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nadzorowania przez urzędnika monitorującego, o którym mowa w art. 53 ust. 5 pkt 6, wykonywania przez podmiot kluczowy obowiązków, o których mowa w rozdziale 3, stosuje się przepis art. 58.</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Zawiadomienie, o którym mowa w ust. 1 pkt 5, przekazuje się na adres do doręczeń elektronicznych albo za pomocą systemu teleinformatycznego, o którym mowa w art. 46 ust. 1, w terminie 1 dnia przed przeprowadzeniem oględzin.</w:t>
      </w:r>
    </w:p>
    <w:p>
      <w:pPr>
        <w:spacing w:before="80" w:after="0"/>
        <w:ind w:left="0"/>
        <w:jc w:val="left"/>
        <w:textAlignment w:val="auto"/>
      </w:pPr>
      <w:r>
        <w:rPr>
          <w:rFonts w:ascii="Times New Roman"/>
          <w:b/>
          <w:i w:val="false"/>
          <w:color w:val="000000"/>
          <w:sz w:val="24"/>
          <w:lang w:val="pl-PL"/>
        </w:rPr>
        <w:t xml:space="preserve"> Art. 53e. </w:t>
      </w:r>
      <w:r>
        <w:rPr>
          <w:rFonts w:ascii="Times New Roman"/>
          <w:b/>
          <w:i w:val="false"/>
          <w:color w:val="000000"/>
          <w:sz w:val="24"/>
          <w:vertAlign w:val="superscript"/>
          <w:lang w:val="pl-PL"/>
        </w:rPr>
        <w:t>394</w:t>
      </w:r>
      <w:r>
        <w:rPr>
          <w:rFonts w:ascii="Times New Roman"/>
          <w:b/>
          <w:i w:val="false"/>
          <w:color w:val="000000"/>
          <w:sz w:val="24"/>
          <w:lang w:val="pl-PL"/>
        </w:rPr>
        <w:t xml:space="preserve"> </w:t>
      </w:r>
      <w:r>
        <w:rPr>
          <w:rFonts w:ascii="Times New Roman"/>
          <w:b/>
          <w:i w:val="false"/>
          <w:color w:val="000000"/>
          <w:sz w:val="24"/>
          <w:lang w:val="pl-PL"/>
        </w:rPr>
        <w:t>[Decyzja o zastosowaniu środka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Realizując uprawnienie, o którym mowa w art. 53 ust. 9, organ właściwy do spraw cyberbezpieczeństwa wydaje decyzję, która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podmiotu kluczowego lub kierownika podmiotu kluczowego;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rodzaj stwierdzonych uchybień lub naruszeń dokonanych przez podmiot kluczowy lub kierownika podmiotu kluczowego;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podjęte dotychczas środki nadzorcze nad podmiotem kluczowym;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podstawę prawną i rodzaj środka określonego w art. 53 ust. 9;</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termin stosowania tego środka;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uzasadnienie.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Termin stosowania środków, o których mowa w art. 53 ust. 9, określa się przy uwzględnieniu kryteriów, o których mowa w art. 53 ust. 12. Środek nie może być stosowany dłużej niż 14 dni od daty doręczenia decyzji o jego zastosowaniu.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zależności od zastosowanego środka, jeżeli podmiot kluczowy usunął uchybienia lub zaprzestał naruszania przepisów ustawy przed terminem określonym w decyzji, uchyla się decyzję o zastosowaniu tego środka.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powzięcia informacji, w szczególności na skutek stosowania innych środków nadzorczych, określonych w art. 53 ust. 1, 4 i 5, że podmiot kluczowy nie usunął wcześniej stwierdzonych uchybień lub w dalszym ciągu narusza przepisy ustawy lub w przypadku, gdy podmiot kluczowy nie wykazał w terminie, na jaki został zastosowany środek, że usunął uchybienia lub zaprzestał naruszania przepisów ustawy, organ właściwy do spraw cyberbezpieczeństwa ponownie wydaje decyzję o zastosowaniu środka określonego w art. 53 ust. 9 na kolejny okres, niedłuższy niż 14 dni. Przepis ten stosuje się do czasu usunięcia uchybień lub zaprzestania naruszeń przez podmiot kluczowy. W stosunku do ponownej decyzji nie stosuje się przepisów art. 53 ust. 13-16.</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z urzędu lub na wniosek podmiotu kluczowego uchyla decyzję, o której mowa w ust. 1, po usunięciu uchybień lub zaprzestaniu naruszeń przez podmiot kluczowy.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 kluczowy może złożyć wniosek, o którym mowa w ust. 5, po usunięciu uchybień lub zaprzestaniu naruszeń, przedstawiając dowody potwierdzające zastosowanie się odpowiednio do nakazu, o którym mowa w art. 53 ust. 5 pkt 1, lub postanowień decyzji, o której mowa w art. 53 ust. 5 pkt 2-8.</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Wniosek, o którym mowa w ust. 5, organ właściwy do spraw cyberbezpieczeństwa rozpatruje niezwłocznie, niepóźniej niż w terminie 7 dni od dnia jego otrzymania.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Czynności, o których mowa w ust. 3 i 5, organ dokonuje w formie decyzji.</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 jest wykonalna z dniem jej doręczenia podmiotowi kluczowemu. Decyzje, o których mowa w ust. 3, 4 i 5, są natychmiast wykonalne.</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Postępowanie w sprawie stosowania i uchylania środków, o których mowa w art. 53 ust. 9, jest jednoinstancyjne. Na decyzje, o których mowa w ust. 1 i 3-5, podmiot kluczowy może wnieść skargę do sądu administracyjnego.</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publikuje na swojej stronie podmiotowej Biuletynu Informacji Publicznej informację o zastosowaniu wobec podmiotu kluczowego lub kierownika podmiotu kluczowego środków, o których mowa w art. 53 ust. 9. Informacja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podmiotu kluczowego lub imię i nazwisko kierownika tego podmiotu kluczowego;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podstawę prawną i rodzaj zastosowanego środka, o którym mowa w art. 53 ust. 9;</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daty początkowej i końcowej okresu na jaki zastosowano środek;</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czy wobec podmiotu kluczowego lub kierownika podmiotu kluczowego ponownie zastosowano środek, a jeśli tak, to wskazanie nowej daty końcowej stosowania tego środka.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Publikacja, o której mowa w ust. 11, nie obejmuje tajemnicy przedsiębiorstwa.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publikuje na swojej stronie podmiotowej Biuletynu Informacji Publicznej informację o uchyleniu decyzji, o której mowa w ust. 1.</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Podmiot kluczowy, w okresie stosowania wobec niego środka, o którym mowa w art. 53 ust. 9, nie może wykonywać działalności, której dotyczy ten środek.</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 okresie stosowania środka, o którym mowa w art. 53 ust. 9, podmiot kluczowy ma obowiązek niezwłocznie podjąć działania zmierzające jedynie do usunięcia uchybień bądź zaprzestania naruszeń. W tym celu w szczególności może składać oświadczenia woli i wiedzy, podejmować czynności procesowe w postępowaniach, przedsiębrać czynności faktyczne, jeżeli nie stoją one w sprzeczności z celem stosowanego środka lub nie zmierzają do jego obejścia.</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W zakresie nieuregulowanym, a dotyczącym zawieszania, ograniczania i wznawiania koncesji, zezwolenia na prowadzenie działalności gospodarczej lub wstrzymania prowadzenia działalności gospodarczej zastosowanie mają przepisy odrębne.</w:t>
      </w:r>
    </w:p>
    <w:p>
      <w:pPr>
        <w:spacing w:before="80" w:after="0"/>
        <w:ind w:left="0"/>
        <w:jc w:val="left"/>
        <w:textAlignment w:val="auto"/>
      </w:pPr>
      <w:r>
        <w:rPr>
          <w:rFonts w:ascii="Times New Roman"/>
          <w:b/>
          <w:i w:val="false"/>
          <w:color w:val="000000"/>
          <w:sz w:val="24"/>
          <w:lang w:val="pl-PL"/>
        </w:rPr>
        <w:t xml:space="preserve"> Art. 53f. </w:t>
      </w:r>
      <w:r>
        <w:rPr>
          <w:rFonts w:ascii="Times New Roman"/>
          <w:b/>
          <w:i w:val="false"/>
          <w:color w:val="000000"/>
          <w:sz w:val="24"/>
          <w:vertAlign w:val="superscript"/>
          <w:lang w:val="pl-PL"/>
        </w:rPr>
        <w:t>395</w:t>
      </w:r>
      <w:r>
        <w:rPr>
          <w:rFonts w:ascii="Times New Roman"/>
          <w:b/>
          <w:i w:val="false"/>
          <w:color w:val="000000"/>
          <w:sz w:val="24"/>
          <w:lang w:val="pl-PL"/>
        </w:rPr>
        <w:t xml:space="preserve"> </w:t>
      </w:r>
      <w:r>
        <w:rPr>
          <w:rFonts w:ascii="Times New Roman"/>
          <w:b/>
          <w:i w:val="false"/>
          <w:color w:val="000000"/>
          <w:sz w:val="24"/>
          <w:lang w:val="pl-PL"/>
        </w:rPr>
        <w:t>[Wspólne sprawowanie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mogą wspólnie sprawować nadzór, w tym wspólnie prowadzić kontrolę, nad podmiotami kluczowymi lub podmiotami ważnymi.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sprawując wspólnie nadzór, w tym prowadząc kontrolę, mogą wyznaczyć wiodący organ właściwy do spraw cyberbezpieczeństwa.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 informują się wzajemnie o zamiarze wszczęcia kontroli w podmiocie, nad którym wspólnie sprawują nadzór.</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Przepisy ust. 1-3 stosuje się odpowiednio do współpracy organów właściwych do spraw cyberbezpieczeństwa i organów właściwych do spraw podmiotów krytycznych w przypadku, gdy nadzór jest sprawowany nad podmiotem kluczowym będącym podmiotem krytycznym.</w:t>
      </w:r>
    </w:p>
    <w:p>
      <w:pPr>
        <w:spacing w:before="80" w:after="0"/>
        <w:ind w:left="0"/>
        <w:jc w:val="left"/>
        <w:textAlignment w:val="auto"/>
      </w:pPr>
      <w:r>
        <w:rPr>
          <w:rFonts w:ascii="Times New Roman"/>
          <w:b/>
          <w:i w:val="false"/>
          <w:color w:val="000000"/>
          <w:sz w:val="24"/>
          <w:lang w:val="pl-PL"/>
        </w:rPr>
        <w:t xml:space="preserve"> Art. 54. </w:t>
      </w:r>
      <w:r>
        <w:rPr>
          <w:rFonts w:ascii="Times New Roman"/>
          <w:b/>
          <w:i w:val="false"/>
          <w:color w:val="000000"/>
          <w:sz w:val="24"/>
          <w:vertAlign w:val="superscript"/>
          <w:lang w:val="pl-PL"/>
        </w:rPr>
        <w:t>396</w:t>
      </w:r>
      <w:r>
        <w:rPr>
          <w:rFonts w:ascii="Times New Roman"/>
          <w:b/>
          <w:i w:val="false"/>
          <w:color w:val="000000"/>
          <w:sz w:val="24"/>
          <w:lang w:val="pl-PL"/>
        </w:rPr>
        <w:t xml:space="preserve"> </w:t>
      </w:r>
      <w:r>
        <w:rPr>
          <w:rFonts w:ascii="Times New Roman"/>
          <w:b/>
          <w:i w:val="false"/>
          <w:color w:val="000000"/>
          <w:sz w:val="24"/>
          <w:lang w:val="pl-PL"/>
        </w:rPr>
        <w:t>[Kontrola - stosowanie przepisów innych ustaw]</w:t>
      </w:r>
    </w:p>
    <w:p>
      <w:pPr>
        <w:spacing w:after="0"/>
        <w:ind w:left="0"/>
        <w:jc w:val="left"/>
        <w:textAlignment w:val="auto"/>
      </w:pPr>
      <w:r>
        <w:rPr>
          <w:rFonts w:ascii="Times New Roman"/>
          <w:b w:val="false"/>
          <w:i w:val="false"/>
          <w:color w:val="000000"/>
          <w:sz w:val="24"/>
          <w:lang w:val="pl-PL"/>
        </w:rPr>
        <w:t>Do kontroli realizowanej wobec podmiotów kluczowych lub podmiotów ważnych: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będących przedsiębiorcami stosuje się przepisy rozdziału 5 </w:t>
      </w:r>
      <w:r>
        <w:rPr>
          <w:rFonts w:ascii="Times New Roman"/>
          <w:b w:val="false"/>
          <w:i w:val="false"/>
          <w:color w:val="1b1b1b"/>
          <w:sz w:val="24"/>
          <w:lang w:val="pl-PL"/>
        </w:rPr>
        <w:t>ustawy</w:t>
      </w:r>
      <w:r>
        <w:rPr>
          <w:rFonts w:ascii="Times New Roman"/>
          <w:b w:val="false"/>
          <w:i w:val="false"/>
          <w:color w:val="000000"/>
          <w:sz w:val="24"/>
          <w:lang w:val="pl-PL"/>
        </w:rPr>
        <w:t xml:space="preserve"> z dnia 6 marca 2018 r. - Prawo przedsiębiorców;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niebędących przedsiębiorcami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15 lipca 2011 r. o kontroli w administracji rządowej;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będących jednostkami samorządu terytorialnego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15 lipca 2011 r. o kontroli w administracji rządowej.</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[Uprawnienia osoby prowadzącej czynności kontrolne wobec przedsiębiorców]</w:t>
      </w:r>
    </w:p>
    <w:p>
      <w:pPr>
        <w:spacing w:after="0"/>
        <w:ind w:left="0"/>
        <w:jc w:val="left"/>
        <w:textAlignment w:val="auto"/>
      </w:pPr>
      <w:r>
        <w:rPr>
          <w:rFonts w:ascii="Times New Roman"/>
          <w:b w:val="false"/>
          <w:i w:val="false"/>
          <w:color w:val="000000"/>
          <w:sz w:val="24"/>
          <w:lang w:val="pl-PL"/>
        </w:rPr>
        <w:t>Osoba prowadząca czynności kontrolne wobec podmiotów będących przedsiębiorcami ma prawo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swobodnego wstępu i poruszania się po terenie podmiotu kontrolowanego bez obowiązku uzyskiwania przepustki;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wglądu do dokumentów dotyczących działalności podmiotu kontrolowanego, pobierania za pokwitowaniem oraz zabezpieczania dokumentów związanych z zakresem kontroli, z zachowaniem przepisów o tajemnicy prawnie chronionej;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sporządzania, a w razie potrzeby żądania sporządzenia, niezbędnych do kontroli kopii, odpisów lub wyciągów z dokumentów oraz zestawień lub obliczeń;</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przetwarzania danych osobowych w zakresie niezbędnym do realizacji celu kontroli;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żądania złożenia ustnych lub pisemnych wyjaśnień w sprawach dotyczących zakresu kontroli;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przeprowadzania oględzin urządzeń, nośników oraz systemów informacyjnych.</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[Obowiązki kontrolowanych podmiotów]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Kontrolowane podmioty będące przedsiębiorcami zapewniają osobie prowadzącej czynności kontrolne warunki niezbędne do sprawnego przeprowadzenia kontroli, w szczególności przez zapewnienie niezwłocznego przedstawienia żądanych dokumentów, terminowego udzielania ustnych i pisemnych wyjaśnień w sprawach objętych kontrolą, udostępniania niezbędnych urządzeń technicznych, a także sporządzania we własnym zakresie kopii lub wydruków dokumentów oraz informacji zgromadzonych na nośnikach, w urządzeniach lub w systemach informacyjnych.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kontrolowany dokonuje potwierdzenia za zgodność z oryginałem sporządzonych kopii lub wydruków, o których mowa w </w:t>
      </w:r>
      <w:r>
        <w:rPr>
          <w:rFonts w:ascii="Times New Roman"/>
          <w:b w:val="false"/>
          <w:i w:val="false"/>
          <w:color w:val="1b1b1b"/>
          <w:sz w:val="24"/>
          <w:lang w:val="pl-PL"/>
        </w:rPr>
        <w:t>ust. 1</w:t>
      </w:r>
      <w:r>
        <w:rPr>
          <w:rFonts w:ascii="Times New Roman"/>
          <w:b w:val="false"/>
          <w:i w:val="false"/>
          <w:color w:val="000000"/>
          <w:sz w:val="24"/>
          <w:lang w:val="pl-PL"/>
        </w:rPr>
        <w:t>. W przypadku odmowy potwierdzenia za zgodność z oryginałem potwierdza je osoba prowadząca czynności kontrolne, o czym czyni wzmiankę w protokole kontroli.</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397</w:t>
      </w:r>
      <w:r>
        <w:rPr>
          <w:rFonts w:ascii="Times New Roman"/>
          <w:b w:val="false"/>
          <w:i w:val="false"/>
          <w:color w:val="000000"/>
          <w:sz w:val="24"/>
          <w:lang w:val="pl-PL"/>
        </w:rPr>
        <w:t xml:space="preserve"> </w:t>
      </w:r>
      <w:r>
        <w:rPr>
          <w:rFonts w:ascii="Times New Roman"/>
          <w:b w:val="false"/>
          <w:i w:val="false"/>
          <w:color w:val="000000"/>
          <w:sz w:val="24"/>
          <w:lang w:val="pl-PL"/>
        </w:rPr>
        <w:t>Organ przeprowadzający kontrolę może żądać od podmiotu kontrolowanego przedstawienia tłumaczenia na język polski sporządzonej w języku obcym dokumentacji przedłożonej przez podmiot kontrolowany. Tłumaczenie dokumentacji podmiot kontrolowany jest obowiązany wykonać na własny koszt. Zlecenie tłumaczenia dokumentacji podmiotom trzecim odbywa się z poszanowaniem tajemnicy prawnie chronionej na podstawie odrębnych przepisów.</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398</w:t>
      </w:r>
      <w:r>
        <w:rPr>
          <w:rFonts w:ascii="Times New Roman"/>
          <w:b w:val="false"/>
          <w:i w:val="false"/>
          <w:color w:val="000000"/>
          <w:sz w:val="24"/>
          <w:lang w:val="pl-PL"/>
        </w:rPr>
        <w:t xml:space="preserve"> </w:t>
      </w:r>
      <w:r>
        <w:rPr>
          <w:rFonts w:ascii="Times New Roman"/>
          <w:b w:val="false"/>
          <w:i w:val="false"/>
          <w:color w:val="000000"/>
          <w:sz w:val="24"/>
          <w:lang w:val="pl-PL"/>
        </w:rPr>
        <w:t>Organ przeprowadzający kontrolę, występując do podmiotu kontrolowanego z żądaniem, o którym mowa w ust. 3, wskazuje zakres dokumentów, które mają zostać przetłumaczone, ich związek z przeprowadzaną kontrolą oraz określa termin na przedstawienie tłumaczenia dokumentacji, uwzględniający zakres koniecznego tłumaczenia.</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[Postępowanie dowodowe w ramach kontroli przedsiębiorców]</w:t>
      </w:r>
    </w:p>
    <w:p>
      <w:pPr>
        <w:spacing w:after="0"/>
        <w:ind w:left="0"/>
        <w:jc w:val="left"/>
        <w:textAlignment w:val="auto"/>
      </w:pPr>
      <w:r>
        <w:rPr>
          <w:rFonts w:ascii="Times New Roman"/>
          <w:b w:val="false"/>
          <w:i w:val="false"/>
          <w:color w:val="000000"/>
          <w:sz w:val="24"/>
          <w:lang w:val="pl-PL"/>
        </w:rPr>
        <w:t>Osoba prowadząca czynności kontrolne wobec podmiotów będących przedsiębiorcami ustala stan faktyczny na podstawie dowodów zebranych w toku kontroli, w szczególności dokumentów, przedmiotów, oględzin oraz ustnych lub pisemnych wyjaśnień i oświadczeń.</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[Protokół kontroli]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Osoba prowadząca czynności kontrolne wobec podmiotów będących przedsiębiorcami przedstawia przebieg przeprowadzonej kontroli w protokole kontroli.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Protokół kontroli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nazwy albo imienia i nazwiska oraz adresu podmiotu kontrolowanego;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imię i nazwisko osoby reprezentującej podmiot kontrolowany oraz nazwę organu reprezentującego ten podmiot;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imię i nazwisko, stanowisko oraz numer upoważnienia osoby prowadzącej czynności kontrolne;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datę rozpoczęcia i zakończenia czynności kontrolnych;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określenie przedmiotu i zakresu kontroli;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opis stanu faktycznego ustalonego w toku kontroli oraz inne informacje mające istotne znaczenie dla przeprowadzonej kontroli, w tym zakres, przyczyny i skutki stwierdzonych nieprawidłowości;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wyszczególnienie załączników.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Protokół kontroli podpisują osoba prowadząca czynności kontrolne oraz osoba reprezentująca podmiot kontrolowany.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399</w:t>
      </w:r>
      <w:r>
        <w:rPr>
          <w:rFonts w:ascii="Times New Roman"/>
          <w:b w:val="false"/>
          <w:i w:val="false"/>
          <w:color w:val="000000"/>
          <w:sz w:val="24"/>
          <w:lang w:val="pl-PL"/>
        </w:rPr>
        <w:t xml:space="preserve"> </w:t>
      </w:r>
      <w:r>
        <w:rPr>
          <w:rFonts w:ascii="Times New Roman"/>
          <w:b w:val="false"/>
          <w:i w:val="false"/>
          <w:color w:val="000000"/>
          <w:sz w:val="24"/>
          <w:lang w:val="pl-PL"/>
        </w:rPr>
        <w:t>W przypadku zastrzeżeń dotyczących ustaleń zawartych w protokole kontroli, podmiot kontrolowany ma prawo odmówić podpisania protokołu kontroli oraz złożyć umotywowane pisemne zastrzeżenia do tego protokołu w terminie 7 dni od dnia przedstawienia mu go do podpisu.</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400</w:t>
      </w:r>
      <w:r>
        <w:rPr>
          <w:rFonts w:ascii="Times New Roman"/>
          <w:b w:val="false"/>
          <w:i w:val="false"/>
          <w:color w:val="000000"/>
          <w:sz w:val="24"/>
          <w:lang w:val="pl-PL"/>
        </w:rPr>
        <w:t xml:space="preserve"> </w:t>
      </w:r>
      <w:r>
        <w:rPr>
          <w:rFonts w:ascii="Times New Roman"/>
          <w:b w:val="false"/>
          <w:i w:val="false"/>
          <w:color w:val="000000"/>
          <w:sz w:val="24"/>
          <w:lang w:val="pl-PL"/>
        </w:rPr>
        <w:t>Odmowę podpisania protokołu kontroli osoba prowadząca czynności kontrolne odnotowuje w protokole wraz ze wskazaniem daty tej odmowy.</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401</w:t>
      </w:r>
      <w:r>
        <w:rPr>
          <w:rFonts w:ascii="Times New Roman"/>
          <w:b w:val="false"/>
          <w:i w:val="false"/>
          <w:color w:val="000000"/>
          <w:sz w:val="24"/>
          <w:lang w:val="pl-PL"/>
        </w:rPr>
        <w:t xml:space="preserve"> </w:t>
      </w:r>
      <w:r>
        <w:rPr>
          <w:rFonts w:ascii="Times New Roman"/>
          <w:b w:val="false"/>
          <w:i w:val="false"/>
          <w:color w:val="000000"/>
          <w:sz w:val="24"/>
          <w:lang w:val="pl-PL"/>
        </w:rPr>
        <w:t>W razie złożenia zastrzeżeń do protokołu kontroli kierownik komórki organizacyjnej do spraw kontroli dokonuje ich analizy.</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402</w:t>
      </w:r>
      <w:r>
        <w:rPr>
          <w:rFonts w:ascii="Times New Roman"/>
          <w:b w:val="false"/>
          <w:i w:val="false"/>
          <w:color w:val="000000"/>
          <w:sz w:val="24"/>
          <w:lang w:val="pl-PL"/>
        </w:rPr>
        <w:t xml:space="preserve"> </w:t>
      </w:r>
      <w:r>
        <w:rPr>
          <w:rFonts w:ascii="Times New Roman"/>
          <w:b w:val="false"/>
          <w:i w:val="false"/>
          <w:color w:val="000000"/>
          <w:sz w:val="24"/>
          <w:lang w:val="pl-PL"/>
        </w:rPr>
        <w:t>Kierownik komórki organizacyjnej do spraw kontroli: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odrzuca zastrzeżenia do protokołu kontroli wniesione przez osobę nieuprawnioną lub wniesione po upływie terminu i informuje o tym na piśmie zgłaszającego zastrzeżenia, podając przyczyny,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uwzględnia zastrzeżenia do protokołu kontroli w całości albo w części albo je oddala.</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403</w:t>
      </w:r>
      <w:r>
        <w:rPr>
          <w:rFonts w:ascii="Times New Roman"/>
          <w:b w:val="false"/>
          <w:i w:val="false"/>
          <w:color w:val="000000"/>
          <w:sz w:val="24"/>
          <w:lang w:val="pl-PL"/>
        </w:rPr>
        <w:t xml:space="preserve"> </w:t>
      </w:r>
      <w:r>
        <w:rPr>
          <w:rFonts w:ascii="Times New Roman"/>
          <w:b w:val="false"/>
          <w:i w:val="false"/>
          <w:color w:val="000000"/>
          <w:sz w:val="24"/>
          <w:lang w:val="pl-PL"/>
        </w:rPr>
        <w:t>W razie potrzeby, w związku ze zgłoszeniem zastrzeżeń do protokołu, osoba prowadząca czynności kontrolne podejmuje dodatkowe czynności kontrolne, a w przypadku stwierdzenia przez kierownika komórki organizacyjnej do spraw kontroli zasadności zastrzeżeń do protokołu kontroli zmienia lub uzupełnia odpowiednią część protokołu kontroli w formie aneksu do protokołu.</w:t>
      </w:r>
    </w:p>
    <w:p>
      <w:pPr>
        <w:spacing w:before="26" w:after="0"/>
        <w:ind w:left="0"/>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404</w:t>
      </w:r>
      <w:r>
        <w:rPr>
          <w:rFonts w:ascii="Times New Roman"/>
          <w:b w:val="false"/>
          <w:i w:val="false"/>
          <w:color w:val="000000"/>
          <w:sz w:val="24"/>
          <w:lang w:val="pl-PL"/>
        </w:rPr>
        <w:t xml:space="preserve"> </w:t>
      </w:r>
      <w:r>
        <w:rPr>
          <w:rFonts w:ascii="Times New Roman"/>
          <w:b w:val="false"/>
          <w:i w:val="false"/>
          <w:color w:val="000000"/>
          <w:sz w:val="24"/>
          <w:lang w:val="pl-PL"/>
        </w:rPr>
        <w:t>Kierownik komórki organizacyjnej do spraw kontroli, po rozpatrzeniu zastrzeżeń do protokołu kontroli, sporządza stanowisko wobec tych zastrzeżeń.</w:t>
      </w:r>
    </w:p>
    <w:p>
      <w:pPr>
        <w:spacing w:before="26" w:after="0"/>
        <w:ind w:left="0"/>
        <w:jc w:val="left"/>
        <w:textAlignment w:val="auto"/>
      </w:pPr>
      <w:r>
        <w:rPr>
          <w:rFonts w:ascii="Times New Roman"/>
          <w:b w:val="false"/>
          <w:i w:val="false"/>
          <w:color w:val="000000"/>
          <w:sz w:val="24"/>
          <w:lang w:val="pl-PL"/>
        </w:rPr>
        <w:t xml:space="preserve">10. </w:t>
      </w:r>
      <w:r>
        <w:rPr>
          <w:rFonts w:ascii="Times New Roman"/>
          <w:b w:val="false"/>
          <w:i w:val="false"/>
          <w:color w:val="000000"/>
          <w:sz w:val="24"/>
          <w:vertAlign w:val="superscript"/>
          <w:lang w:val="pl-PL"/>
        </w:rPr>
        <w:t>405</w:t>
      </w:r>
      <w:r>
        <w:rPr>
          <w:rFonts w:ascii="Times New Roman"/>
          <w:b w:val="false"/>
          <w:i w:val="false"/>
          <w:color w:val="000000"/>
          <w:sz w:val="24"/>
          <w:lang w:val="pl-PL"/>
        </w:rPr>
        <w:t xml:space="preserve"> </w:t>
      </w:r>
      <w:r>
        <w:rPr>
          <w:rFonts w:ascii="Times New Roman"/>
          <w:b w:val="false"/>
          <w:i w:val="false"/>
          <w:color w:val="000000"/>
          <w:sz w:val="24"/>
          <w:lang w:val="pl-PL"/>
        </w:rPr>
        <w:t>O nieuwzględnieniu zastrzeżeń do protokołu kontroli w całości albo w części kierownik komórki organizacyjnej do spraw kontroli informuje podmiot kontrolowany na piśmie.</w:t>
      </w:r>
    </w:p>
    <w:p>
      <w:pPr>
        <w:spacing w:before="26" w:after="0"/>
        <w:ind w:left="0"/>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406</w:t>
      </w:r>
      <w:r>
        <w:rPr>
          <w:rFonts w:ascii="Times New Roman"/>
          <w:b w:val="false"/>
          <w:i w:val="false"/>
          <w:color w:val="000000"/>
          <w:sz w:val="24"/>
          <w:lang w:val="pl-PL"/>
        </w:rPr>
        <w:t xml:space="preserve"> </w:t>
      </w:r>
      <w:r>
        <w:rPr>
          <w:rFonts w:ascii="Times New Roman"/>
          <w:b w:val="false"/>
          <w:i w:val="false"/>
          <w:color w:val="000000"/>
          <w:sz w:val="24"/>
          <w:lang w:val="pl-PL"/>
        </w:rPr>
        <w:t>Protokół kontroli: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postaci papierowej sporządza się w dwóch egzemplarzach, z których jeden pozostawia się podmiotowi kontrolowanemu;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postaci elektronicznej doręcza się podmiotowi kontrolowanemu na adres do doręczeń elektronicznych.</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[Zalecenia pokontrolne]</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407</w:t>
      </w:r>
      <w:r>
        <w:rPr>
          <w:rFonts w:ascii="Times New Roman"/>
          <w:b w:val="false"/>
          <w:i w:val="false"/>
          <w:color w:val="000000"/>
          <w:sz w:val="24"/>
          <w:lang w:val="pl-PL"/>
        </w:rPr>
        <w:t xml:space="preserve"> </w:t>
      </w:r>
      <w:r>
        <w:rPr>
          <w:rFonts w:ascii="Times New Roman"/>
          <w:b w:val="false"/>
          <w:i w:val="false"/>
          <w:color w:val="000000"/>
          <w:sz w:val="24"/>
          <w:lang w:val="pl-PL"/>
        </w:rPr>
        <w:t>Jeżeli na podstawie informacji zgromadzonych w toku kontroli organ właściwy do spraw cyberbezpieczeństwa uzna, że mogło dojść do naruszenia przepisów ustawy przez podmiot kontrolowany, przekazuje zalecenia pokontrolne wzywające do usunięcia nieprawidłowości. Organ właściwy do spraw cyberbezpieczeństwa wskazuje termin usunięcia tych nieprawidłowości, uwzględniając zakres i rodzaj naruszeń.</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 zaleceń pokontrolnych nie przysługują środki odwoławcze.</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408</w:t>
      </w:r>
      <w:r>
        <w:rPr>
          <w:rFonts w:ascii="Times New Roman"/>
          <w:b w:val="false"/>
          <w:i w:val="false"/>
          <w:color w:val="000000"/>
          <w:sz w:val="24"/>
          <w:lang w:val="pl-PL"/>
        </w:rPr>
        <w:t xml:space="preserve"> </w:t>
      </w:r>
      <w:r>
        <w:rPr>
          <w:rFonts w:ascii="Times New Roman"/>
          <w:b w:val="false"/>
          <w:i w:val="false"/>
          <w:color w:val="000000"/>
          <w:sz w:val="24"/>
          <w:lang w:val="pl-PL"/>
        </w:rPr>
        <w:t>Podmiot kontrolowany, w wyznaczonym terminie, informuje organ właściwy do spraw cyberbezpieczeństwa o sposobie wykonania zaleceń.</w:t>
      </w:r>
    </w:p>
    <w:p>
      <w:pPr>
        <w:spacing w:before="80" w:after="0"/>
        <w:ind w:left="0"/>
        <w:jc w:val="left"/>
        <w:textAlignment w:val="auto"/>
      </w:pPr>
      <w:r>
        <w:rPr>
          <w:rFonts w:ascii="Times New Roman"/>
          <w:b/>
          <w:i w:val="false"/>
          <w:color w:val="000000"/>
          <w:sz w:val="24"/>
          <w:lang w:val="pl-PL"/>
        </w:rPr>
        <w:t xml:space="preserve"> Art. 59a. </w:t>
      </w:r>
      <w:r>
        <w:rPr>
          <w:rFonts w:ascii="Times New Roman"/>
          <w:b/>
          <w:i w:val="false"/>
          <w:color w:val="000000"/>
          <w:sz w:val="24"/>
          <w:vertAlign w:val="superscript"/>
          <w:lang w:val="pl-PL"/>
        </w:rPr>
        <w:t>409</w:t>
      </w:r>
      <w:r>
        <w:rPr>
          <w:rFonts w:ascii="Times New Roman"/>
          <w:b/>
          <w:i w:val="false"/>
          <w:color w:val="000000"/>
          <w:sz w:val="24"/>
          <w:lang w:val="pl-PL"/>
        </w:rPr>
        <w:t xml:space="preserve"> </w:t>
      </w:r>
      <w:r>
        <w:rPr>
          <w:rFonts w:ascii="Times New Roman"/>
          <w:b/>
          <w:i w:val="false"/>
          <w:color w:val="000000"/>
          <w:sz w:val="24"/>
          <w:lang w:val="pl-PL"/>
        </w:rPr>
        <w:t>[Stwierdzenie podczas sprawowania nadzoru podejrzenia naruszenia ochrony danych osobowych]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podczas sprawowania nadzoru podejrzenia naruszenia ochrony danych osobowych organ właściwy do spraw cyberbezpieczeństwa informuje o tym Prezesa Urzędu Ochrony Danych Osobowych w terminie 7 dni od dnia stwierdzenia podejrzenia tego naruszenia.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podejrzenia naruszenia ochrony danych osobowych podczas sprawowania nadzoru nad jednostką organizacyjną prokuratury organ właściwy do spraw cyberbezpieczeństwa informuje właściwy organ prokuratury, o którym mowa w </w:t>
      </w:r>
      <w:r>
        <w:rPr>
          <w:rFonts w:ascii="Times New Roman"/>
          <w:b w:val="false"/>
          <w:i w:val="false"/>
          <w:color w:val="1b1b1b"/>
          <w:sz w:val="24"/>
          <w:lang w:val="pl-PL"/>
        </w:rPr>
        <w:t>art. 191a § 1</w:t>
      </w:r>
      <w:r>
        <w:rPr>
          <w:rFonts w:ascii="Times New Roman"/>
          <w:b w:val="false"/>
          <w:i w:val="false"/>
          <w:color w:val="000000"/>
          <w:sz w:val="24"/>
          <w:lang w:val="pl-PL"/>
        </w:rPr>
        <w:t xml:space="preserve"> ustawy z dnia 28 stycznia 2016 r. - Prawo o prokuraturze (Dz. U. z 2024 r. poz. 390, z 2025 r. poz. 304 i 1178 oraz z 2026 r. poz. 26).</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podejrzenia naruszenia ochrony danych osobowych podczas sprawowania nadzoru nad sądem organ właściwy do spraw cyberbezpieczeństwa informuje właściwego prezesa sądu albo Krajową Radę Sądownictwa, o których mowa w </w:t>
      </w:r>
      <w:r>
        <w:rPr>
          <w:rFonts w:ascii="Times New Roman"/>
          <w:b w:val="false"/>
          <w:i w:val="false"/>
          <w:color w:val="1b1b1b"/>
          <w:sz w:val="24"/>
          <w:lang w:val="pl-PL"/>
        </w:rPr>
        <w:t>art. 175dd § 1</w:t>
      </w:r>
      <w:r>
        <w:rPr>
          <w:rFonts w:ascii="Times New Roman"/>
          <w:b w:val="false"/>
          <w:i w:val="false"/>
          <w:color w:val="000000"/>
          <w:sz w:val="24"/>
          <w:lang w:val="pl-PL"/>
        </w:rPr>
        <w:t xml:space="preserve"> ustawy z dnia 27 lipca 2001 r. - Prawo o ustroju sądów powszechnych (Dz. U. z 2024 r. poz. 334, z późn. zm.).</w:t>
      </w:r>
    </w:p>
    <w:p>
      <w:pPr>
        <w:spacing w:before="80" w:after="0"/>
        <w:ind w:left="0"/>
        <w:jc w:val="left"/>
        <w:textAlignment w:val="auto"/>
      </w:pPr>
      <w:r>
        <w:rPr>
          <w:rFonts w:ascii="Times New Roman"/>
          <w:b/>
          <w:i w:val="false"/>
          <w:color w:val="000000"/>
          <w:sz w:val="24"/>
          <w:lang w:val="pl-PL"/>
        </w:rPr>
        <w:t xml:space="preserve"> Art. 59b. </w:t>
      </w:r>
      <w:r>
        <w:rPr>
          <w:rFonts w:ascii="Times New Roman"/>
          <w:b/>
          <w:i w:val="false"/>
          <w:color w:val="000000"/>
          <w:sz w:val="24"/>
          <w:vertAlign w:val="superscript"/>
          <w:lang w:val="pl-PL"/>
        </w:rPr>
        <w:t>410</w:t>
      </w:r>
      <w:r>
        <w:rPr>
          <w:rFonts w:ascii="Times New Roman"/>
          <w:b/>
          <w:i w:val="false"/>
          <w:color w:val="000000"/>
          <w:sz w:val="24"/>
          <w:lang w:val="pl-PL"/>
        </w:rPr>
        <w:t xml:space="preserve"> </w:t>
      </w:r>
      <w:r>
        <w:rPr>
          <w:rFonts w:ascii="Times New Roman"/>
          <w:b/>
          <w:i w:val="false"/>
          <w:color w:val="000000"/>
          <w:sz w:val="24"/>
          <w:lang w:val="pl-PL"/>
        </w:rPr>
        <w:t>[Udzielanie pomocy organom innych państw członkowskich UE w sprawowaniu nadzoru nad podmiotami kluczowymi lub podmiotami ważnymi]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udziela pomocy organom innych państw członkowskich Unii Europejskiej w sprawowaniu nadzoru nad podmiotami kluczowymi lub podmiotami ważnymi, których systemy informacyjne znajdują się na terytorium Rzeczypospolitej Polskiej.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za pośrednictwem Pojedynczego Punktu Kontaktowego, zwracać się do organów innych państw członkowskich Unii Europejskiej o przeprowadzenie czynności nadzorczych nad podmiotami kluczowymi lub podmiotami ważnymi, świadczącymi usługi na terytorium Rzeczypospolitej Polskiej, których siedziba, zarząd lub systemy informacyjne znajdują się na terytorium innego państwa członkowskiego Unii Europejskiej.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odmawia udzielenia pomocy, o której mowa w ust. 1,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jest właściwy w sprawie;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żądana pomoc jest nieproporcjonalna do realizowanych przez organ zadań z zakresu nadzoru;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 innego państwa członkowskiego Unii Europejskiej żąda udostępnienia informacji lub dokumentów, których udostępnienie narusza podstawowy interes bezpieczeństwa państwa, bezpieczeństwa i porządku publicznego lub obronności.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Przed odmową udzielenia pomocy organ właściwy do spraw cyberbezpieczeństwa konsultuje się z wnioskującym o udzielenie pomocy organem innego państwa, a także z Komisją Europejską i ENISA, jeśli żąda tego państwo członkowskie Unii Europejskiej.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prowadzić wspólne czynności nadzorcze z organem innego państwa członkowskiego Unii Europejskiej.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właściwe do spraw cyberbezpieczeństwa współpracują za pośrednictwem Pojedynczego Punktu Kontaktowego z organami innych państw członkowskich Unii Europejskiej właściwych do stosowania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właściwe do spraw cyberbezpieczeństwa informują forum nadzoru,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rozporządzenia 2022/2554, jeżeli podejmują czynności nadzorcze wobec podmiotu kluczowego, który został wyznaczony jako kluczowy dostawca usług ICT zgodnie z </w:t>
      </w:r>
      <w:r>
        <w:rPr>
          <w:rFonts w:ascii="Times New Roman"/>
          <w:b w:val="false"/>
          <w:i w:val="false"/>
          <w:color w:val="1b1b1b"/>
          <w:sz w:val="24"/>
          <w:lang w:val="pl-PL"/>
        </w:rPr>
        <w:t>art. 31</w:t>
      </w:r>
      <w:r>
        <w:rPr>
          <w:rFonts w:ascii="Times New Roman"/>
          <w:b w:val="false"/>
          <w:i w:val="false"/>
          <w:color w:val="000000"/>
          <w:sz w:val="24"/>
          <w:lang w:val="pl-PL"/>
        </w:rPr>
        <w:t xml:space="preserve"> rozporządzenia 2022/2554.</w:t>
      </w:r>
    </w:p>
    <w:p>
      <w:pPr>
        <w:spacing w:before="80" w:after="0"/>
        <w:ind w:left="0"/>
        <w:jc w:val="left"/>
        <w:textAlignment w:val="auto"/>
      </w:pPr>
      <w:r>
        <w:rPr>
          <w:rFonts w:ascii="Times New Roman"/>
          <w:b/>
          <w:i w:val="false"/>
          <w:color w:val="000000"/>
          <w:sz w:val="24"/>
          <w:lang w:val="pl-PL"/>
        </w:rPr>
        <w:t xml:space="preserve"> Art. 59c. </w:t>
      </w:r>
      <w:r>
        <w:rPr>
          <w:rFonts w:ascii="Times New Roman"/>
          <w:b/>
          <w:i w:val="false"/>
          <w:color w:val="000000"/>
          <w:sz w:val="24"/>
          <w:vertAlign w:val="superscript"/>
          <w:lang w:val="pl-PL"/>
        </w:rPr>
        <w:t>411</w:t>
      </w:r>
      <w:r>
        <w:rPr>
          <w:rFonts w:ascii="Times New Roman"/>
          <w:b/>
          <w:i w:val="false"/>
          <w:color w:val="000000"/>
          <w:sz w:val="24"/>
          <w:lang w:val="pl-PL"/>
        </w:rPr>
        <w:t xml:space="preserve"> </w:t>
      </w:r>
      <w:r>
        <w:rPr>
          <w:rFonts w:ascii="Times New Roman"/>
          <w:b/>
          <w:i w:val="false"/>
          <w:color w:val="000000"/>
          <w:sz w:val="24"/>
          <w:lang w:val="pl-PL"/>
        </w:rPr>
        <w:t>[Kontrola doraźna]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przypadkach uzasadnionych charakterem sprawy lub pilnością przeprowadzenia czynności kontrolnych wynikających z ochrony bezpieczeństwa państwa lub bezpieczeństwa i porządku publicznego lub w przypadku potrzeby realizacji wzajemnej pomocy, o której mowa w art. 59b ust. 1, lub potrzeby sprawdzenia, czy podmiot kluczowy usunął uchybienia lub zaprzestał dokonywania naruszeń, można zarządzić przeprowadzenie kontroli doraźnej, o której mowa w art. 53 ust. 2 pkt 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Kontrola doraźna, o której mowa w art. 53 ust. 2 pkt 1, może być zarządzona w szczególności w razie potrzeby: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sprawdzenia informacji uzyskanej od urzędnika monitorującego, o którym mowa w art. 53 ust. 5 pkt 6, że podmiot kluczowy może naruszać przepisy ustawy;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sprawdzenia, w celu podjęcia działań na podstawie art. 53e ust. 4 i 5, czy podmiot kluczowy usunął uchybienia lub zaprzestał dokonywania naruszeń;</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sprawdzenia wykonania zaleceń pokontrolnych, wykonania decyzji albo postanowień nakazujących usunięcie naruszeń prawa w związku z przeprowadzoną kontrolą.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Kontrolę doraźną, o której mowa w art. 53 ust. 2 pkt 1, prowadzi się zgodnie z przepisami dotyczącymi kontroli na zasadach ogólnych. Do podmiotów kontrolowanych niebędących przedsiębiorcami nie stosuje się przepisów dotyczących programu kontroli i sporządzania wystąpienia pokontrolnego.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Kontrola doraźna, o której mowa w art. 53 ust. 2 pkt 1, może być prowadzona także wtedy, gdy nie było możliwości wcześniejszego powiadomienia podmiotu kontrolowanego o terminie przeprowadzenia kontroli. Uzasadnienie przyczyny braku powiadomienia o zamiarze wszczęcia kontroli umieszcza się w sprawozdaniu z kontroli albo protokole kontroli.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Kontrola doraźna, o której mowa w art. 53 ust. 2 pkt 1, kończy się sporządzeniem: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sprawozdania z kontroli - w przypadku jednostek samorządu terytorialnego oraz podmiotów niebędących przedsiębiorcami,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protokołu kontroli - w przypadku podmiotów będących przedsiębiorcami</w:t>
      </w:r>
    </w:p>
    <w:p>
      <w:pPr>
        <w:spacing w:before="25" w:after="0"/>
        <w:ind w:left="0"/>
        <w:jc w:val="left"/>
        <w:textAlignment w:val="auto"/>
      </w:pPr>
      <w:r>
        <w:rPr>
          <w:rFonts w:ascii="Times New Roman"/>
          <w:b w:val="false"/>
          <w:i w:val="false"/>
          <w:color w:val="000000"/>
          <w:sz w:val="24"/>
          <w:lang w:val="pl-PL"/>
        </w:rPr>
        <w:t>- zawierającymi opis ustalonego stanu faktycznego oraz jego ocenę, a także, w razie potrzeby, zalecenia lub wnioski wzywające do usunięcia nieprawidłowości lub usprawnienia funkcjonowania podmiotu kontrolowanego. Sprawozdanie z kontroli albo protokół kontroli podpisuje kierownik komórki do spraw kontroli w organie właściwym do spraw cyberbezpieczeństwa.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Kierownik podmiotu kontrolowanego w terminie 3 dni roboczych od dnia otrzymania sprawozdania z kontroli albo protokołu kontroli, o których mowa w ust. 5, ma prawo przedstawić do niego stanowisko. Nie wstrzymuje to realizacji ustaleń kontroli doraźnej.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Jeżeli w toku kontroli doraźnej, o której mowa w art. 53 ust. 2 pkt 1, zostaną ujawnione okoliczności wskazujące na naruszenia przepisów ustawy, które wykraczają poza zakres tej kontroli, kontrolę w dalszej części przeprowadza się na zasadach ogólnych z zastosowaniem przepisów art. 54-59b.</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kontroli doraźnej, o której mowa w art. 53 ust. 2 pkt 1, w zakresie nieuregulowanym niniejszą ustawą w stosunku do podmiotów będących przedsiębiorcami stosuje się odpowiednio przepisy ustawy z dnia 6 marca 2018 r. - Prawo przedsiębiorców, a w przypadku jednostek samorządu terytorialnego oraz podmiotów niebędących przedsiębiorcami - przepisy ustawy z dnia 15 lipca 2011 r. o kontroli w administracji rządowej. Przepisów </w:t>
      </w:r>
      <w:r>
        <w:rPr>
          <w:rFonts w:ascii="Times New Roman"/>
          <w:b w:val="false"/>
          <w:i w:val="false"/>
          <w:color w:val="1b1b1b"/>
          <w:sz w:val="24"/>
          <w:lang w:val="pl-PL"/>
        </w:rPr>
        <w:t>art. 47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art. 54 ust. 1</w:t>
      </w:r>
      <w:r>
        <w:rPr>
          <w:rFonts w:ascii="Times New Roman"/>
          <w:b w:val="false"/>
          <w:i w:val="false"/>
          <w:color w:val="000000"/>
          <w:sz w:val="24"/>
          <w:lang w:val="pl-PL"/>
        </w:rPr>
        <w:t xml:space="preserve"> ustawy z dnia 6 marca 2018 r. - Prawo przedsiębiorców nie stosuje się.</w:t>
      </w:r>
    </w:p>
    <w:p>
      <w:pPr>
        <w:spacing w:before="89" w:after="0"/>
        <w:ind w:left="0"/>
        <w:jc w:val="center"/>
        <w:textAlignment w:val="auto"/>
      </w:pPr>
      <w:r>
        <w:rPr>
          <w:rFonts w:ascii="Times New Roman"/>
          <w:b/>
          <w:i w:val="false"/>
          <w:color w:val="000000"/>
          <w:sz w:val="24"/>
          <w:lang w:val="pl-PL"/>
        </w:rPr>
        <w:t>Rozdział 12</w:t>
      </w:r>
    </w:p>
    <w:p>
      <w:pPr>
        <w:spacing w:before="25" w:after="0"/>
        <w:ind w:left="0"/>
        <w:jc w:val="center"/>
        <w:textAlignment w:val="auto"/>
      </w:pPr>
      <w:r>
        <w:rPr>
          <w:rFonts w:ascii="Times New Roman"/>
          <w:b/>
          <w:i w:val="false"/>
          <w:color w:val="000000"/>
          <w:sz w:val="24"/>
          <w:lang w:val="pl-PL"/>
        </w:rPr>
        <w:t>Pełnomocnik i Kolegium</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[Realizacja polityki rządu w zakresie zapewnienia cyberbezpieczeństwa przez Pełnomocnika Rządu do Spraw Cyberbezpieczeństwa]</w:t>
      </w:r>
    </w:p>
    <w:p>
      <w:pPr>
        <w:spacing w:after="0"/>
        <w:ind w:left="0"/>
        <w:jc w:val="left"/>
        <w:textAlignment w:val="auto"/>
      </w:pPr>
      <w:r>
        <w:rPr>
          <w:rFonts w:ascii="Times New Roman"/>
          <w:b w:val="false"/>
          <w:i w:val="false"/>
          <w:color w:val="000000"/>
          <w:sz w:val="24"/>
          <w:lang w:val="pl-PL"/>
        </w:rPr>
        <w:t>Koordynowanie działań i realizowanie polityki rządu w zakresie zapewnienia cyberbezpieczeństwa w Rzeczypospolitej Polskiej powierza się Pełnomocnikowi.</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[Powołanie i odwołanie Pełnomocnika; podległość Radzie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Pełnomocnika powołuje i odwołuje Prezes Rady Ministrów.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Pełnomocnik podlega Radzie Ministrów.</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412</w:t>
      </w:r>
      <w:r>
        <w:rPr>
          <w:rFonts w:ascii="Times New Roman"/>
          <w:b w:val="false"/>
          <w:i w:val="false"/>
          <w:color w:val="000000"/>
          <w:sz w:val="24"/>
          <w:lang w:val="pl-PL"/>
        </w:rPr>
        <w:t xml:space="preserve"> </w:t>
      </w:r>
      <w:r>
        <w:rPr>
          <w:rFonts w:ascii="Times New Roman"/>
          <w:b w:val="false"/>
          <w:i w:val="false"/>
          <w:color w:val="000000"/>
          <w:sz w:val="24"/>
          <w:lang w:val="pl-PL"/>
        </w:rPr>
        <w:t>Pełnomocnikiem jest minister właściwy do spraw informatyzacji, sekretarz stanu albo podsekretarz stanu w urzędzie obsługującym ministra właściwego do spraw informatyzacji.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Obsługę merytoryczną, organizacyjno-prawną, techniczną i kancelaryjno-biurową Pełnomocnika zapewnia ministerstwo albo inny urząd administracji rządowej, w którym powołano Pełnomocnika.</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[Zadania Pełnomocnika]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ramach koordynowania działań i realizowania polityki rządu w zakresie zapewnienia cyberbezpieczeństwa do zadań Pełnomocnika należy: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413</w:t>
      </w:r>
      <w:r>
        <w:rPr>
          <w:rFonts w:ascii="Times New Roman"/>
          <w:b w:val="false"/>
          <w:i w:val="false"/>
          <w:color w:val="000000"/>
          <w:sz w:val="24"/>
          <w:lang w:val="pl-PL"/>
        </w:rPr>
        <w:t xml:space="preserve"> </w:t>
      </w:r>
      <w:r>
        <w:rPr>
          <w:rFonts w:ascii="Times New Roman"/>
          <w:b w:val="false"/>
          <w:i w:val="false"/>
          <w:color w:val="000000"/>
          <w:sz w:val="24"/>
          <w:lang w:val="pl-PL"/>
        </w:rPr>
        <w:t>analiza i ocena funkcjonowania krajowego systemu cyberbezpieczeństwa na podstawie zagregowanych danych i wskaźników opracowanych z udziałem organów administracji publicznej, organów właściwych do spraw cyberbezpieczeństwa, CSIRT MON, CSIRT NASK CSIRT GOV i CSIRT sektorowych;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nadzór nad procesem zarządzania ryzykiem krajowego systemu cyberbezpieczeństwa z wykorzystaniem zagregowanych danych i wskaźników opracowanych z udziałem organów właściwych do spraw cyberbezpieczeństwa, CSIRT MON, CSIRT NASK i CSIRT GOV;</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opiniowanie dokumentów rządowych, w tym projektów aktów prawnych, mających wpływ na realizację zadań z zakresu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upowszechnianie nowych rozwiązań i inicjowanie działań w zakresie zapewnienia cyberbezpieczeństwa na poziomie krajowym;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inicjowanie krajowych ćwiczeń w zakresie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wydawanie rekomendacji dotyczących stosowania urządzeń informatycznych lub oprogramowania na wniosek CSIRT.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zadań Pełnomocnika wykonywanych w porozumieniu z właściwymi ministrami należy również:</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współpraca w sprawach związanych z cyberbezpieczeństwem z innymi państwami, organizacjami oraz instytucjami międzynarodowymi;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podejmowanie działań mających na celu wspieranie badań naukowych i rozwój technologii z zakresu cyberbezpieczeństwa;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414</w:t>
      </w:r>
      <w:r>
        <w:rPr>
          <w:rFonts w:ascii="Times New Roman"/>
          <w:b w:val="false"/>
          <w:i w:val="false"/>
          <w:color w:val="000000"/>
          <w:sz w:val="24"/>
          <w:lang w:val="pl-PL"/>
        </w:rPr>
        <w:t xml:space="preserve"> </w:t>
      </w:r>
      <w:r>
        <w:rPr>
          <w:rFonts w:ascii="Times New Roman"/>
          <w:b w:val="false"/>
          <w:i w:val="false"/>
          <w:color w:val="000000"/>
          <w:sz w:val="24"/>
          <w:lang w:val="pl-PL"/>
        </w:rPr>
        <w:t>podejmowanie działań mających na celu podnoszenie świadomości społeczeństwa w zakresie cyberzagrożeń i bezpiecznego korzystania z Internetu.</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415</w:t>
      </w:r>
      <w:r>
        <w:rPr>
          <w:rFonts w:ascii="Times New Roman"/>
          <w:b w:val="false"/>
          <w:i w:val="false"/>
          <w:color w:val="000000"/>
          <w:sz w:val="24"/>
          <w:lang w:val="pl-PL"/>
        </w:rPr>
        <w:t xml:space="preserve"> </w:t>
      </w:r>
      <w:r>
        <w:rPr>
          <w:rFonts w:ascii="Times New Roman"/>
          <w:b w:val="false"/>
          <w:i w:val="false"/>
          <w:color w:val="000000"/>
          <w:sz w:val="24"/>
          <w:lang w:val="pl-PL"/>
        </w:rPr>
        <w:t>Pełnomocnik może dokonywać zakupów produktów ICT, usług ICT lub procesów ICT z zakresu cyberbezpieczeństwa na rzecz podmiotów, o których mowa w art. 62a ust. 2 pkt 3, na podstawie umowy, przekazując prawa do zakupionych produktów ICT, usług ICT lub procesów ICT z zakresu cyberbezpieczeństwa.</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416</w:t>
      </w:r>
      <w:r>
        <w:rPr>
          <w:rFonts w:ascii="Times New Roman"/>
          <w:b w:val="false"/>
          <w:i w:val="false"/>
          <w:color w:val="000000"/>
          <w:sz w:val="24"/>
          <w:lang w:val="pl-PL"/>
        </w:rPr>
        <w:t xml:space="preserve"> </w:t>
      </w:r>
      <w:r>
        <w:rPr>
          <w:rFonts w:ascii="Times New Roman"/>
          <w:b w:val="false"/>
          <w:i w:val="false"/>
          <w:color w:val="000000"/>
          <w:sz w:val="24"/>
          <w:lang w:val="pl-PL"/>
        </w:rPr>
        <w:t>Pełnomocnik może, w zakresie realizacji jego zadań, zlecać przeprowadzanie badań lub ekspertyz.</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417</w:t>
      </w:r>
      <w:r>
        <w:rPr>
          <w:rFonts w:ascii="Times New Roman"/>
          <w:b w:val="false"/>
          <w:i w:val="false"/>
          <w:color w:val="000000"/>
          <w:sz w:val="24"/>
          <w:lang w:val="pl-PL"/>
        </w:rPr>
        <w:t xml:space="preserve"> </w:t>
      </w:r>
      <w:r>
        <w:rPr>
          <w:rFonts w:ascii="Times New Roman"/>
          <w:b w:val="false"/>
          <w:i w:val="false"/>
          <w:color w:val="000000"/>
          <w:sz w:val="24"/>
          <w:lang w:val="pl-PL"/>
        </w:rPr>
        <w:t>Pełnomocnik może, w drodze zarządzenia, powoływać zespoły doradcze.</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418</w:t>
      </w:r>
      <w:r>
        <w:rPr>
          <w:rFonts w:ascii="Times New Roman"/>
          <w:b w:val="false"/>
          <w:i w:val="false"/>
          <w:color w:val="000000"/>
          <w:sz w:val="24"/>
          <w:lang w:val="pl-PL"/>
        </w:rPr>
        <w:t xml:space="preserve"> </w:t>
      </w:r>
      <w:r>
        <w:rPr>
          <w:rFonts w:ascii="Times New Roman"/>
          <w:b w:val="false"/>
          <w:i w:val="false"/>
          <w:color w:val="000000"/>
          <w:sz w:val="24"/>
          <w:lang w:val="pl-PL"/>
        </w:rPr>
        <w:t>Pełnomocnik może upoważnić do realizacji swoich zadań pracownika ministerstwa lub urzędu administracji rządowej go obsługującego, który: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pełni funkcję dyrektora departamentu, zastępcy dyrektora departamentu lub naczelnika wydziału;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spełnia wymagania określone w przepisach o ochronie informacji niejawnych w zakresie dostępu do informacji niejawnych o klauzuli "tajne</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419</w:t>
      </w:r>
      <w:r>
        <w:rPr>
          <w:rFonts w:ascii="Times New Roman"/>
          <w:b w:val="false"/>
          <w:i w:val="false"/>
          <w:color w:val="000000"/>
          <w:sz w:val="24"/>
          <w:lang w:val="pl-PL"/>
        </w:rPr>
        <w:t xml:space="preserve"> </w:t>
      </w:r>
      <w:r>
        <w:rPr>
          <w:rFonts w:ascii="Times New Roman"/>
          <w:b w:val="false"/>
          <w:i w:val="false"/>
          <w:color w:val="000000"/>
          <w:sz w:val="24"/>
          <w:lang w:val="pl-PL"/>
        </w:rPr>
        <w:t>Organy administracji rządowej oraz jednostki organizacyjne podległe tym organom lub przez nie nadzorowane są obowiązane do udzielania pomocy Pełnomocnikowi przy realizacji jego zadań, w szczególności przez udostępnianie mu informacji i dokumentów.</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420</w:t>
      </w:r>
      <w:r>
        <w:rPr>
          <w:rFonts w:ascii="Times New Roman"/>
          <w:b w:val="false"/>
          <w:i w:val="false"/>
          <w:color w:val="000000"/>
          <w:sz w:val="24"/>
          <w:lang w:val="pl-PL"/>
        </w:rPr>
        <w:t xml:space="preserve"> </w:t>
      </w:r>
      <w:r>
        <w:rPr>
          <w:rFonts w:ascii="Times New Roman"/>
          <w:b w:val="false"/>
          <w:i w:val="false"/>
          <w:color w:val="000000"/>
          <w:sz w:val="24"/>
          <w:lang w:val="pl-PL"/>
        </w:rPr>
        <w:t>Zadania Pełnomocnika są finansowane z części budżetowej, której dysponentem jest minister właściwy do spraw informatyzacji.</w:t>
      </w:r>
    </w:p>
    <w:p>
      <w:pPr>
        <w:spacing w:before="80" w:after="0"/>
        <w:ind w:left="0"/>
        <w:jc w:val="left"/>
        <w:textAlignment w:val="auto"/>
      </w:pPr>
      <w:r>
        <w:rPr>
          <w:rFonts w:ascii="Times New Roman"/>
          <w:b/>
          <w:i w:val="false"/>
          <w:color w:val="000000"/>
          <w:sz w:val="24"/>
          <w:lang w:val="pl-PL"/>
        </w:rPr>
        <w:t xml:space="preserve"> Art. 62a. </w:t>
      </w:r>
      <w:r>
        <w:rPr>
          <w:rFonts w:ascii="Times New Roman"/>
          <w:b/>
          <w:i w:val="false"/>
          <w:color w:val="000000"/>
          <w:sz w:val="24"/>
          <w:vertAlign w:val="superscript"/>
          <w:lang w:val="pl-PL"/>
        </w:rPr>
        <w:t>421</w:t>
      </w:r>
      <w:r>
        <w:rPr>
          <w:rFonts w:ascii="Times New Roman"/>
          <w:b/>
          <w:i w:val="false"/>
          <w:color w:val="000000"/>
          <w:sz w:val="24"/>
          <w:lang w:val="pl-PL"/>
        </w:rPr>
        <w:t xml:space="preserve"> </w:t>
      </w:r>
      <w:r>
        <w:rPr>
          <w:rFonts w:ascii="Times New Roman"/>
          <w:b/>
          <w:i w:val="false"/>
          <w:color w:val="000000"/>
          <w:sz w:val="24"/>
          <w:lang w:val="pl-PL"/>
        </w:rPr>
        <w:t>[Połączone Centrum Operacyjne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 Pełnomocniku działa PCOC, jako organ pomocniczy w sprawach koordynowania działań i realizowania polityki rządu w zakresie zapewnienia cyberbezpieczeństwa w Rzeczypospolitej Polskiej.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PCOC wchodzą: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Pełnomocnik;</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sekretarz PCOC;</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przedstawiciele: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ministra - członka Rady Ministrów właściwego do spraw koordynowania działalności służb specjalnych, jeżeli został powołany,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informatyzacji,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wewnętrznych,</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zagranicznych,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Ministra Obrony Narodowej,</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Ministra Sprawiedliwości,</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Szefa Kancelarii Prezesa Rady Ministrów,</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organów właściwych do spraw cyberbezpieczeństwa,</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CSIRT GOV,</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CSIRT MON,</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w:t>
      </w:r>
      <w:r>
        <w:rPr>
          <w:rFonts w:ascii="Times New Roman"/>
          <w:b w:val="false"/>
          <w:i w:val="false"/>
          <w:color w:val="000000"/>
          <w:sz w:val="24"/>
          <w:lang w:val="pl-PL"/>
        </w:rPr>
        <w:t>CSIRT NASK,</w:t>
      </w:r>
    </w:p>
    <w:p>
      <w:pPr>
        <w:spacing w:after="0"/>
        <w:ind w:left="746"/>
        <w:jc w:val="left"/>
        <w:textAlignment w:val="auto"/>
      </w:pPr>
      <w:r>
        <w:rPr>
          <w:rFonts w:ascii="Times New Roman"/>
          <w:b w:val="false"/>
          <w:i w:val="false"/>
          <w:color w:val="000000"/>
          <w:sz w:val="24"/>
          <w:lang w:val="pl-PL"/>
        </w:rPr>
        <w:t>l)</w:t>
      </w:r>
      <w:r>
        <w:rPr>
          <w:rFonts w:ascii="Times New Roman"/>
          <w:b w:val="false"/>
          <w:i w:val="false"/>
          <w:color w:val="000000"/>
          <w:sz w:val="24"/>
          <w:lang w:val="pl-PL"/>
        </w:rPr>
        <w:t xml:space="preserve"> </w:t>
      </w:r>
      <w:r>
        <w:rPr>
          <w:rFonts w:ascii="Times New Roman"/>
          <w:b w:val="false"/>
          <w:i w:val="false"/>
          <w:color w:val="000000"/>
          <w:sz w:val="24"/>
          <w:lang w:val="pl-PL"/>
        </w:rPr>
        <w:t>CSIRT sektorowych,</w:t>
      </w:r>
    </w:p>
    <w:p>
      <w:pPr>
        <w:spacing w:after="0"/>
        <w:ind w:left="746"/>
        <w:jc w:val="left"/>
        <w:textAlignment w:val="auto"/>
      </w:pPr>
      <w:r>
        <w:rPr>
          <w:rFonts w:ascii="Times New Roman"/>
          <w:b w:val="false"/>
          <w:i w:val="false"/>
          <w:color w:val="000000"/>
          <w:sz w:val="24"/>
          <w:lang w:val="pl-PL"/>
        </w:rPr>
        <w:t>m)</w:t>
      </w:r>
      <w:r>
        <w:rPr>
          <w:rFonts w:ascii="Times New Roman"/>
          <w:b w:val="false"/>
          <w:i w:val="false"/>
          <w:color w:val="000000"/>
          <w:sz w:val="24"/>
          <w:lang w:val="pl-PL"/>
        </w:rPr>
        <w:t xml:space="preserve"> </w:t>
      </w:r>
      <w:r>
        <w:rPr>
          <w:rFonts w:ascii="Times New Roman"/>
          <w:b w:val="false"/>
          <w:i w:val="false"/>
          <w:color w:val="000000"/>
          <w:sz w:val="24"/>
          <w:lang w:val="pl-PL"/>
        </w:rPr>
        <w:t>Dowódcy Komponentu Wojsk Obrony Cyberprzestrzeni,</w:t>
      </w:r>
    </w:p>
    <w:p>
      <w:pPr>
        <w:spacing w:after="0"/>
        <w:ind w:left="746"/>
        <w:jc w:val="left"/>
        <w:textAlignment w:val="auto"/>
      </w:pPr>
      <w:r>
        <w:rPr>
          <w:rFonts w:ascii="Times New Roman"/>
          <w:b w:val="false"/>
          <w:i w:val="false"/>
          <w:color w:val="000000"/>
          <w:sz w:val="24"/>
          <w:lang w:val="pl-PL"/>
        </w:rPr>
        <w:t>n)</w:t>
      </w:r>
      <w:r>
        <w:rPr>
          <w:rFonts w:ascii="Times New Roman"/>
          <w:b w:val="false"/>
          <w:i w:val="false"/>
          <w:color w:val="000000"/>
          <w:sz w:val="24"/>
          <w:lang w:val="pl-PL"/>
        </w:rPr>
        <w:t xml:space="preserve"> </w:t>
      </w:r>
      <w:r>
        <w:rPr>
          <w:rFonts w:ascii="Times New Roman"/>
          <w:b w:val="false"/>
          <w:i w:val="false"/>
          <w:color w:val="000000"/>
          <w:sz w:val="24"/>
          <w:lang w:val="pl-PL"/>
        </w:rPr>
        <w:t>dyrektora Rządowego Centrum Bezpieczeństwa,</w:t>
      </w:r>
    </w:p>
    <w:p>
      <w:pPr>
        <w:spacing w:after="0"/>
        <w:ind w:left="746"/>
        <w:jc w:val="left"/>
        <w:textAlignment w:val="auto"/>
      </w:pPr>
      <w:r>
        <w:rPr>
          <w:rFonts w:ascii="Times New Roman"/>
          <w:b w:val="false"/>
          <w:i w:val="false"/>
          <w:color w:val="000000"/>
          <w:sz w:val="24"/>
          <w:lang w:val="pl-PL"/>
        </w:rPr>
        <w:t>o)</w:t>
      </w:r>
      <w:r>
        <w:rPr>
          <w:rFonts w:ascii="Times New Roman"/>
          <w:b w:val="false"/>
          <w:i w:val="false"/>
          <w:color w:val="000000"/>
          <w:sz w:val="24"/>
          <w:lang w:val="pl-PL"/>
        </w:rPr>
        <w:t xml:space="preserve"> </w:t>
      </w:r>
      <w:r>
        <w:rPr>
          <w:rFonts w:ascii="Times New Roman"/>
          <w:b w:val="false"/>
          <w:i w:val="false"/>
          <w:color w:val="000000"/>
          <w:sz w:val="24"/>
          <w:lang w:val="pl-PL"/>
        </w:rPr>
        <w:t>Komendanta Centralnego Biura Zwalczania Cyberprzestępczości,</w:t>
      </w:r>
    </w:p>
    <w:p>
      <w:pPr>
        <w:spacing w:after="0"/>
        <w:ind w:left="746"/>
        <w:jc w:val="left"/>
        <w:textAlignment w:val="auto"/>
      </w:pPr>
      <w:r>
        <w:rPr>
          <w:rFonts w:ascii="Times New Roman"/>
          <w:b w:val="false"/>
          <w:i w:val="false"/>
          <w:color w:val="000000"/>
          <w:sz w:val="24"/>
          <w:lang w:val="pl-PL"/>
        </w:rPr>
        <w:t>p)</w:t>
      </w:r>
      <w:r>
        <w:rPr>
          <w:rFonts w:ascii="Times New Roman"/>
          <w:b w:val="false"/>
          <w:i w:val="false"/>
          <w:color w:val="000000"/>
          <w:sz w:val="24"/>
          <w:lang w:val="pl-PL"/>
        </w:rPr>
        <w:t xml:space="preserve"> </w:t>
      </w:r>
      <w:r>
        <w:rPr>
          <w:rFonts w:ascii="Times New Roman"/>
          <w:b w:val="false"/>
          <w:i w:val="false"/>
          <w:color w:val="000000"/>
          <w:sz w:val="24"/>
          <w:lang w:val="pl-PL"/>
        </w:rPr>
        <w:t>Komendanta Głównego Policji,</w:t>
      </w:r>
    </w:p>
    <w:p>
      <w:pPr>
        <w:spacing w:after="0"/>
        <w:ind w:left="746"/>
        <w:jc w:val="left"/>
        <w:textAlignment w:val="auto"/>
      </w:pPr>
      <w:r>
        <w:rPr>
          <w:rFonts w:ascii="Times New Roman"/>
          <w:b w:val="false"/>
          <w:i w:val="false"/>
          <w:color w:val="000000"/>
          <w:sz w:val="24"/>
          <w:lang w:val="pl-PL"/>
        </w:rPr>
        <w:t>q)</w:t>
      </w:r>
      <w:r>
        <w:rPr>
          <w:rFonts w:ascii="Times New Roman"/>
          <w:b w:val="false"/>
          <w:i w:val="false"/>
          <w:color w:val="000000"/>
          <w:sz w:val="24"/>
          <w:lang w:val="pl-PL"/>
        </w:rPr>
        <w:t xml:space="preserve"> </w:t>
      </w:r>
      <w:r>
        <w:rPr>
          <w:rFonts w:ascii="Times New Roman"/>
          <w:b w:val="false"/>
          <w:i w:val="false"/>
          <w:color w:val="000000"/>
          <w:sz w:val="24"/>
          <w:lang w:val="pl-PL"/>
        </w:rPr>
        <w:t>Komendanta Służby Ochrony Państwa,</w:t>
      </w:r>
    </w:p>
    <w:p>
      <w:pPr>
        <w:spacing w:after="0"/>
        <w:ind w:left="746"/>
        <w:jc w:val="left"/>
        <w:textAlignment w:val="auto"/>
      </w:pPr>
      <w:r>
        <w:rPr>
          <w:rFonts w:ascii="Times New Roman"/>
          <w:b w:val="false"/>
          <w:i w:val="false"/>
          <w:color w:val="000000"/>
          <w:sz w:val="24"/>
          <w:lang w:val="pl-PL"/>
        </w:rPr>
        <w:t>r)</w:t>
      </w:r>
      <w:r>
        <w:rPr>
          <w:rFonts w:ascii="Times New Roman"/>
          <w:b w:val="false"/>
          <w:i w:val="false"/>
          <w:color w:val="000000"/>
          <w:sz w:val="24"/>
          <w:lang w:val="pl-PL"/>
        </w:rPr>
        <w:t xml:space="preserve"> </w:t>
      </w:r>
      <w:r>
        <w:rPr>
          <w:rFonts w:ascii="Times New Roman"/>
          <w:b w:val="false"/>
          <w:i w:val="false"/>
          <w:color w:val="000000"/>
          <w:sz w:val="24"/>
          <w:lang w:val="pl-PL"/>
        </w:rPr>
        <w:t>Komendanta Głównego Straży Granicznej,</w:t>
      </w:r>
    </w:p>
    <w:p>
      <w:pPr>
        <w:spacing w:after="0"/>
        <w:ind w:left="746"/>
        <w:jc w:val="left"/>
        <w:textAlignment w:val="auto"/>
      </w:pPr>
      <w:r>
        <w:rPr>
          <w:rFonts w:ascii="Times New Roman"/>
          <w:b w:val="false"/>
          <w:i w:val="false"/>
          <w:color w:val="000000"/>
          <w:sz w:val="24"/>
          <w:lang w:val="pl-PL"/>
        </w:rPr>
        <w:t>s)</w:t>
      </w:r>
      <w:r>
        <w:rPr>
          <w:rFonts w:ascii="Times New Roman"/>
          <w:b w:val="false"/>
          <w:i w:val="false"/>
          <w:color w:val="000000"/>
          <w:sz w:val="24"/>
          <w:lang w:val="pl-PL"/>
        </w:rPr>
        <w:t xml:space="preserve"> </w:t>
      </w:r>
      <w:r>
        <w:rPr>
          <w:rFonts w:ascii="Times New Roman"/>
          <w:b w:val="false"/>
          <w:i w:val="false"/>
          <w:color w:val="000000"/>
          <w:sz w:val="24"/>
          <w:lang w:val="pl-PL"/>
        </w:rPr>
        <w:t>Prokuratora Krajowego,</w:t>
      </w:r>
    </w:p>
    <w:p>
      <w:pPr>
        <w:spacing w:after="0"/>
        <w:ind w:left="746"/>
        <w:jc w:val="left"/>
        <w:textAlignment w:val="auto"/>
      </w:pPr>
      <w:r>
        <w:rPr>
          <w:rFonts w:ascii="Times New Roman"/>
          <w:b w:val="false"/>
          <w:i w:val="false"/>
          <w:color w:val="000000"/>
          <w:sz w:val="24"/>
          <w:lang w:val="pl-PL"/>
        </w:rPr>
        <w:t>t)</w:t>
      </w:r>
      <w:r>
        <w:rPr>
          <w:rFonts w:ascii="Times New Roman"/>
          <w:b w:val="false"/>
          <w:i w:val="false"/>
          <w:color w:val="000000"/>
          <w:sz w:val="24"/>
          <w:lang w:val="pl-PL"/>
        </w:rPr>
        <w:t xml:space="preserve"> </w:t>
      </w:r>
      <w:r>
        <w:rPr>
          <w:rFonts w:ascii="Times New Roman"/>
          <w:b w:val="false"/>
          <w:i w:val="false"/>
          <w:color w:val="000000"/>
          <w:sz w:val="24"/>
          <w:lang w:val="pl-PL"/>
        </w:rPr>
        <w:t>Szefa Agencji Bezpieczeństwa Wewnętrznego,</w:t>
      </w:r>
    </w:p>
    <w:p>
      <w:pPr>
        <w:spacing w:after="0"/>
        <w:ind w:left="746"/>
        <w:jc w:val="left"/>
        <w:textAlignment w:val="auto"/>
      </w:pPr>
      <w:r>
        <w:rPr>
          <w:rFonts w:ascii="Times New Roman"/>
          <w:b w:val="false"/>
          <w:i w:val="false"/>
          <w:color w:val="000000"/>
          <w:sz w:val="24"/>
          <w:lang w:val="pl-PL"/>
        </w:rPr>
        <w:t>u)</w:t>
      </w:r>
      <w:r>
        <w:rPr>
          <w:rFonts w:ascii="Times New Roman"/>
          <w:b w:val="false"/>
          <w:i w:val="false"/>
          <w:color w:val="000000"/>
          <w:sz w:val="24"/>
          <w:lang w:val="pl-PL"/>
        </w:rPr>
        <w:t xml:space="preserve"> </w:t>
      </w:r>
      <w:r>
        <w:rPr>
          <w:rFonts w:ascii="Times New Roman"/>
          <w:b w:val="false"/>
          <w:i w:val="false"/>
          <w:color w:val="000000"/>
          <w:sz w:val="24"/>
          <w:lang w:val="pl-PL"/>
        </w:rPr>
        <w:t>Szefa Agencji Wywiadu,</w:t>
      </w:r>
    </w:p>
    <w:p>
      <w:pPr>
        <w:spacing w:after="0"/>
        <w:ind w:left="746"/>
        <w:jc w:val="left"/>
        <w:textAlignment w:val="auto"/>
      </w:pPr>
      <w:r>
        <w:rPr>
          <w:rFonts w:ascii="Times New Roman"/>
          <w:b w:val="false"/>
          <w:i w:val="false"/>
          <w:color w:val="000000"/>
          <w:sz w:val="24"/>
          <w:lang w:val="pl-PL"/>
        </w:rPr>
        <w:t>v)</w:t>
      </w:r>
      <w:r>
        <w:rPr>
          <w:rFonts w:ascii="Times New Roman"/>
          <w:b w:val="false"/>
          <w:i w:val="false"/>
          <w:color w:val="000000"/>
          <w:sz w:val="24"/>
          <w:lang w:val="pl-PL"/>
        </w:rPr>
        <w:t xml:space="preserve"> </w:t>
      </w:r>
      <w:r>
        <w:rPr>
          <w:rFonts w:ascii="Times New Roman"/>
          <w:b w:val="false"/>
          <w:i w:val="false"/>
          <w:color w:val="000000"/>
          <w:sz w:val="24"/>
          <w:lang w:val="pl-PL"/>
        </w:rPr>
        <w:t>Szefa Służby Kontrwywiadu Wojskowego,</w:t>
      </w:r>
    </w:p>
    <w:p>
      <w:pPr>
        <w:spacing w:after="0"/>
        <w:ind w:left="746"/>
        <w:jc w:val="left"/>
        <w:textAlignment w:val="auto"/>
      </w:pPr>
      <w:r>
        <w:rPr>
          <w:rFonts w:ascii="Times New Roman"/>
          <w:b w:val="false"/>
          <w:i w:val="false"/>
          <w:color w:val="000000"/>
          <w:sz w:val="24"/>
          <w:lang w:val="pl-PL"/>
        </w:rPr>
        <w:t>w)</w:t>
      </w:r>
      <w:r>
        <w:rPr>
          <w:rFonts w:ascii="Times New Roman"/>
          <w:b w:val="false"/>
          <w:i w:val="false"/>
          <w:color w:val="000000"/>
          <w:sz w:val="24"/>
          <w:lang w:val="pl-PL"/>
        </w:rPr>
        <w:t xml:space="preserve"> </w:t>
      </w:r>
      <w:r>
        <w:rPr>
          <w:rFonts w:ascii="Times New Roman"/>
          <w:b w:val="false"/>
          <w:i w:val="false"/>
          <w:color w:val="000000"/>
          <w:sz w:val="24"/>
          <w:lang w:val="pl-PL"/>
        </w:rPr>
        <w:t>Szefa Służby Wywiadu Wojskowego.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Prezydent Rzeczypospolitej Polskiej może skierować do udziału w pracach PCOC swojego przedstawiciela.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posiedzenia PCOC mogą być zapraszani przedstawiciele podmiotów kluczowych, podmiotów ważnych lub innych podmiotów, jeżeli wymaga tego temat spotkania.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Posiedzeniu PCOC przewodniczy Pełnomocnik.</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Do zadań PCOC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wymiana informacji na temat cyberzagrożeń, incydentów i podatności na poziomie krajowym;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wymiana informacji o wynikach szacowania ryzyka związanego z ujawnionymi cyberzagrożeniami oraz zaistniałymi incydentami;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wymiana informacji o przeprowadzanych badaniach, o których mowa w art. 33 ust. 1;</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wymiana informacji dotyczących sytuacji kryzysowych w cyberprzestrzeni;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przygotowywanie bieżących informacji na temat sytuacji w cyberprzestrzeni dla Pełnomocnika;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wymiana informacji dotycząca procesów i współpracy międzynarodowej w zakresie bezpieczeństwa w cyberprzestrzeni.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Sekretarz PCOC organizuje pracę PCOC i w tym zakresie może występować do CSIRT MON, CSIRT NASK, CSIRT GOV, CSIRT sektorowych oraz organów administracji rządowej o przedstawienie informacji niezbędnych w sprawach rozpatrywanych przez PCOC.</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Sekretarza PCOC powołuje Pełnomocnik spośród osób spełniających wymagania określone w przepisach o ochronie informacji niejawnych w zakresie dostępu do informacji niejawnych o klauzuli "tajne". Sekretarza PCOC odwołuje Pełnomocnik.</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Sekretarz PCOC może powołać swojego zastępcę spośród osób spełniających wymagania określone w ust. 8. Zastępcę sekretarza PCOC odwołuje sekretarz PCOC.</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przypadku nieobecności sekretarza PCOC jego obowiązki wykonuje zastępca sekretarza PCOC.</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Obsługę PCOC zapewnia ministerstwo lub inny urząd administracji rządowej obsługujący Pełnomocnika.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Pełnomocnik określi, w drodze zarządzenia, tryb pracy PCOC, mając na uwadze charakter zadań PCOC oraz konieczność zapewnienia jego sprawnej pracy.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Zarządzenie jest publikowane na stronie podmiotowej Biuletynu Informacji Publicznej Pełnomocnika.</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[Roczne sprawozdanie Pełnomocnika; przedstawianie wniosków i rekomendacji]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Pełnomocnik opracowuje i przedkłada Radzie Ministrów w terminie do dnia 31 marca każdego roku sprawozdanie za poprzedni rok kalendarzowy zawierające informacje o prowadzonej działalności w zakresie zapewnienia cyberbezpieczeństwa na poziomie krajowym.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Pełnomocnik może przekazywać Radzie Ministrów wnioski oraz rekomendacje dotyczące działań, które powinny podejmować podmioty krajowego systemu cyberbezpieczeństwa w celu zapewnienia cyberbezpieczeństwa na poziomie krajowym i przeciwdziałania zagrożeniom w tym zakresie.</w:t>
      </w:r>
    </w:p>
    <w:p>
      <w:pPr>
        <w:spacing w:before="80" w:after="0"/>
        <w:ind w:left="0"/>
        <w:jc w:val="left"/>
        <w:textAlignment w:val="auto"/>
      </w:pPr>
      <w:r>
        <w:rPr>
          <w:rFonts w:ascii="Times New Roman"/>
          <w:b/>
          <w:i w:val="false"/>
          <w:color w:val="000000"/>
          <w:sz w:val="24"/>
          <w:lang w:val="pl-PL"/>
        </w:rPr>
        <w:t xml:space="preserve"> Art. 64. </w:t>
      </w:r>
      <w:r>
        <w:rPr>
          <w:rFonts w:ascii="Times New Roman"/>
          <w:b/>
          <w:i w:val="false"/>
          <w:color w:val="000000"/>
          <w:sz w:val="24"/>
          <w:vertAlign w:val="superscript"/>
          <w:lang w:val="pl-PL"/>
        </w:rPr>
        <w:t>422</w:t>
      </w:r>
      <w:r>
        <w:rPr>
          <w:rFonts w:ascii="Times New Roman"/>
          <w:b/>
          <w:i w:val="false"/>
          <w:color w:val="000000"/>
          <w:sz w:val="24"/>
          <w:lang w:val="pl-PL"/>
        </w:rPr>
        <w:t xml:space="preserve"> </w:t>
      </w:r>
      <w:r>
        <w:rPr>
          <w:rFonts w:ascii="Times New Roman"/>
          <w:b/>
          <w:i w:val="false"/>
          <w:color w:val="000000"/>
          <w:sz w:val="24"/>
          <w:lang w:val="pl-PL"/>
        </w:rPr>
        <w:t>[Status Kolegium do Spraw Cyberbezpieczeństwa]</w:t>
      </w:r>
    </w:p>
    <w:p>
      <w:pPr>
        <w:spacing w:after="0"/>
        <w:ind w:left="0"/>
        <w:jc w:val="left"/>
        <w:textAlignment w:val="auto"/>
      </w:pPr>
      <w:r>
        <w:rPr>
          <w:rFonts w:ascii="Times New Roman"/>
          <w:b w:val="false"/>
          <w:i w:val="false"/>
          <w:color w:val="000000"/>
          <w:sz w:val="24"/>
          <w:lang w:val="pl-PL"/>
        </w:rPr>
        <w:t>Przy Radzie Ministrów działa Kolegium, jako organ opiniodawczo-doradczy w sprawach cyberbezpieczeństwa oraz działalności w tym zakresie CSIRT MON, CSIRT NASK, CSIRT GOV, CSIRT sektorowych i organów właściwych do spraw cyberbezpieczeństwa.</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[Zadania Kolegium]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zadań Kolegium należy wyrażanie opinii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423</w:t>
      </w:r>
      <w:r>
        <w:rPr>
          <w:rFonts w:ascii="Times New Roman"/>
          <w:b w:val="false"/>
          <w:i w:val="false"/>
          <w:color w:val="000000"/>
          <w:sz w:val="24"/>
          <w:lang w:val="pl-PL"/>
        </w:rPr>
        <w:t xml:space="preserve"> </w:t>
      </w:r>
      <w:r>
        <w:rPr>
          <w:rFonts w:ascii="Times New Roman"/>
          <w:b w:val="false"/>
          <w:i w:val="false"/>
          <w:color w:val="000000"/>
          <w:sz w:val="24"/>
          <w:lang w:val="pl-PL"/>
        </w:rPr>
        <w:t>kierunków i planów na rzecz przeciwdziałania cyberzagrożeniom;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planowanych do ustalenia przez Prezesa Urzędu Komunikacji Elektronicznej w projekcie rozstrzygnięcia decyzji w sprawie rezerwacji częstotliwości, o którym mowa w </w:t>
      </w:r>
      <w:r>
        <w:rPr>
          <w:rFonts w:ascii="Times New Roman"/>
          <w:b w:val="false"/>
          <w:i w:val="false"/>
          <w:color w:val="1b1b1b"/>
          <w:sz w:val="24"/>
          <w:lang w:val="pl-PL"/>
        </w:rPr>
        <w:t>art. 110 ust. 2</w:t>
      </w:r>
      <w:r>
        <w:rPr>
          <w:rFonts w:ascii="Times New Roman"/>
          <w:b w:val="false"/>
          <w:i w:val="false"/>
          <w:color w:val="000000"/>
          <w:sz w:val="24"/>
          <w:lang w:val="pl-PL"/>
        </w:rPr>
        <w:t xml:space="preserve"> ustawy z dnia 12 lipca 2024 r. - Prawo komunikacji elektronicznej, jeżeli rezerwacja będzie obejmować co najmniej 30 % obszaru kraju i jest dokonywana bez przeprowadzenia postępowania selekcyjnego, o którym mowa w </w:t>
      </w:r>
      <w:r>
        <w:rPr>
          <w:rFonts w:ascii="Times New Roman"/>
          <w:b w:val="false"/>
          <w:i w:val="false"/>
          <w:color w:val="1b1b1b"/>
          <w:sz w:val="24"/>
          <w:lang w:val="pl-PL"/>
        </w:rPr>
        <w:t>art. 104 ust. 3</w:t>
      </w:r>
      <w:r>
        <w:rPr>
          <w:rFonts w:ascii="Times New Roman"/>
          <w:b w:val="false"/>
          <w:i w:val="false"/>
          <w:color w:val="000000"/>
          <w:sz w:val="24"/>
          <w:lang w:val="pl-PL"/>
        </w:rPr>
        <w:t xml:space="preserve"> tej ustawy, lub po przeprowadzeniu przetargu lub aukcji, o których mowa w </w:t>
      </w:r>
      <w:r>
        <w:rPr>
          <w:rFonts w:ascii="Times New Roman"/>
          <w:b w:val="false"/>
          <w:i w:val="false"/>
          <w:color w:val="1b1b1b"/>
          <w:sz w:val="24"/>
          <w:lang w:val="pl-PL"/>
        </w:rPr>
        <w:t>art. 104 ust. 3</w:t>
      </w:r>
      <w:r>
        <w:rPr>
          <w:rFonts w:ascii="Times New Roman"/>
          <w:b w:val="false"/>
          <w:i w:val="false"/>
          <w:color w:val="000000"/>
          <w:sz w:val="24"/>
          <w:lang w:val="pl-PL"/>
        </w:rPr>
        <w:t xml:space="preserve"> pkt 2 tej ustawy;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424</w:t>
      </w:r>
      <w:r>
        <w:rPr>
          <w:rFonts w:ascii="Times New Roman"/>
          <w:b w:val="false"/>
          <w:i w:val="false"/>
          <w:color w:val="000000"/>
          <w:sz w:val="24"/>
          <w:lang w:val="pl-PL"/>
        </w:rPr>
        <w:t xml:space="preserve"> </w:t>
      </w:r>
      <w:r>
        <w:rPr>
          <w:rFonts w:ascii="Times New Roman"/>
          <w:b w:val="false"/>
          <w:i w:val="false"/>
          <w:color w:val="000000"/>
          <w:sz w:val="24"/>
          <w:lang w:val="pl-PL"/>
        </w:rPr>
        <w:t>wykonywania przez CSIRT MON, CSIRT NASK, Szefa Agencji Bezpieczeństwa Wewnętrznego realizującego zadania w ramach CSIRT GOV, CSIRT sektorowe i organy właściwe do spraw cyberbezpieczeństwa powierzonych im zadań zgodnie z kierunkami i planami na rzecz przeciwdziałania cyberzagrożeniom;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425</w:t>
      </w:r>
      <w:r>
        <w:rPr>
          <w:rFonts w:ascii="Times New Roman"/>
          <w:b w:val="false"/>
          <w:i w:val="false"/>
          <w:color w:val="000000"/>
          <w:sz w:val="24"/>
          <w:lang w:val="pl-PL"/>
        </w:rPr>
        <w:t xml:space="preserve"> </w:t>
      </w:r>
      <w:r>
        <w:rPr>
          <w:rFonts w:ascii="Times New Roman"/>
          <w:b w:val="false"/>
          <w:i w:val="false"/>
          <w:color w:val="000000"/>
          <w:sz w:val="24"/>
          <w:lang w:val="pl-PL"/>
        </w:rPr>
        <w:t>współdziałania organów prowadzących lub nadzorujących CSIRT MON, CSIRT GOV CSIRT NASK i CSIRT sektorowych;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426</w:t>
      </w:r>
      <w:r>
        <w:rPr>
          <w:rFonts w:ascii="Times New Roman"/>
          <w:b w:val="false"/>
          <w:i w:val="false"/>
          <w:color w:val="000000"/>
          <w:sz w:val="24"/>
          <w:lang w:val="pl-PL"/>
        </w:rPr>
        <w:t xml:space="preserve"> </w:t>
      </w:r>
      <w:r>
        <w:rPr>
          <w:rFonts w:ascii="Times New Roman"/>
          <w:b w:val="false"/>
          <w:i w:val="false"/>
          <w:color w:val="000000"/>
          <w:sz w:val="24"/>
          <w:lang w:val="pl-PL"/>
        </w:rPr>
        <w:t>współdziałania podmiotów CSIRT MON, CSIRT NASK, Szefa Agencji Bezpieczeństwa Wewnętrznego oraz ministra - członka Rady Ministrów właściwego do spraw koordynowania działalności służb specjalnych, CSIRT sektorowych i organów właściwych do spraw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organizacji wymiany informacji istotnych dla cyberbezpieczeństwa i międzynarodowej pozycji Rzeczypospolitej Polskiej między organami administracji rządowej;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wniosków CSIRT MON, CSIRT NASK lub CSIRT GOV w sprawie rekomendacji dotyczących stosowania urządzeń informatycznych lub oprogramowania;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wniosków o przyznanie świadczenia teleinformatycznego,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(Dz. U. z 2024 r. poz. 1662 oraz z 2025 r. poz. 1017) w zakresie maksymalnej kwoty prognozowanych kosztów, związanych z przyznaniem świadczenia teleinformatycznego;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427</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współdziałania zespołów CSIRT MON, CSIRT NASK, CSIRT GOV i CSIRT sektorowego w sektorze bankowości i infrastruktury rynków finansowych oraz właściwego organu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 w zakresie działalności podmiotów finansowych będących podmiotami kluczowymi lub podmiotami ważnymi;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428</w:t>
      </w:r>
      <w:r>
        <w:rPr>
          <w:rFonts w:ascii="Times New Roman"/>
          <w:b w:val="false"/>
          <w:i w:val="false"/>
          <w:color w:val="000000"/>
          <w:sz w:val="24"/>
          <w:lang w:val="pl-PL"/>
        </w:rPr>
        <w:t xml:space="preserve"> </w:t>
      </w:r>
      <w:r>
        <w:rPr>
          <w:rFonts w:ascii="Times New Roman"/>
          <w:b w:val="false"/>
          <w:i w:val="false"/>
          <w:color w:val="000000"/>
          <w:sz w:val="24"/>
          <w:lang w:val="pl-PL"/>
        </w:rPr>
        <w:t>decyzji w sprawie uznania dostawcy sprzętu lub oprogramowania za dostawcę wysokiego ryzyka.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Opinia w sprawie projektu rozstrzygnięcia decyzji, o której mowa w </w:t>
      </w:r>
      <w:r>
        <w:rPr>
          <w:rFonts w:ascii="Times New Roman"/>
          <w:b w:val="false"/>
          <w:i w:val="false"/>
          <w:color w:val="1b1b1b"/>
          <w:sz w:val="24"/>
          <w:lang w:val="pl-PL"/>
        </w:rPr>
        <w:t>ust. 1 pkt 1a</w:t>
      </w:r>
      <w:r>
        <w:rPr>
          <w:rFonts w:ascii="Times New Roman"/>
          <w:b w:val="false"/>
          <w:i w:val="false"/>
          <w:color w:val="000000"/>
          <w:sz w:val="24"/>
          <w:lang w:val="pl-PL"/>
        </w:rPr>
        <w:t>, wydawana jest przez Kolegium w terminie 14 dni od dnia otrzymania projektu przekazanego do zaopiniowania przez Prezesa Urzędu Komunikacji Elektronicznej.</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429</w:t>
      </w:r>
      <w:r>
        <w:rPr>
          <w:rFonts w:ascii="Times New Roman"/>
          <w:b w:val="false"/>
          <w:i w:val="false"/>
          <w:color w:val="000000"/>
          <w:sz w:val="24"/>
          <w:lang w:val="pl-PL"/>
        </w:rPr>
        <w:t xml:space="preserve"> </w:t>
      </w:r>
      <w:r>
        <w:rPr>
          <w:rFonts w:ascii="Times New Roman"/>
          <w:b w:val="false"/>
          <w:i w:val="false"/>
          <w:color w:val="000000"/>
          <w:sz w:val="24"/>
          <w:lang w:val="pl-PL"/>
        </w:rPr>
        <w:t>Do zadań Kolegium należy opracowywanie rekomendacji dla Prezesa Rady Ministrów dotyczących działań w zakresie zapewnienia cyberbezpieczeństwa na poziomie krajowym, o których mowa w art. 67.</w:t>
      </w:r>
    </w:p>
    <w:p>
      <w:pPr>
        <w:spacing w:before="80" w:after="0"/>
        <w:ind w:left="0"/>
        <w:jc w:val="left"/>
        <w:textAlignment w:val="auto"/>
      </w:pPr>
      <w:r>
        <w:rPr>
          <w:rFonts w:ascii="Times New Roman"/>
          <w:b/>
          <w:i w:val="false"/>
          <w:color w:val="000000"/>
          <w:sz w:val="24"/>
          <w:lang w:val="pl-PL"/>
        </w:rPr>
        <w:t xml:space="preserve"> Art. 65a. </w:t>
      </w:r>
      <w:r>
        <w:rPr>
          <w:rFonts w:ascii="Times New Roman"/>
          <w:b/>
          <w:i w:val="false"/>
          <w:color w:val="000000"/>
          <w:sz w:val="24"/>
          <w:vertAlign w:val="superscript"/>
          <w:lang w:val="pl-PL"/>
        </w:rPr>
        <w:t>430</w:t>
      </w:r>
      <w:r>
        <w:rPr>
          <w:rFonts w:ascii="Times New Roman"/>
          <w:b/>
          <w:i w:val="false"/>
          <w:color w:val="000000"/>
          <w:sz w:val="24"/>
          <w:lang w:val="pl-PL"/>
        </w:rPr>
        <w:t xml:space="preserve"> </w:t>
      </w:r>
      <w:r>
        <w:rPr>
          <w:rFonts w:ascii="Times New Roman"/>
          <w:b/>
          <w:i w:val="false"/>
          <w:color w:val="000000"/>
          <w:sz w:val="24"/>
          <w:lang w:val="pl-PL"/>
        </w:rPr>
        <w:t>[Zlecanie przez przewodniczącego Kolegium przeprowadzenia analiz]</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Przewodniczący Kolegium, działając z urzędu lub na wniosek innego członka Kolegium, może zlecić CSIRT MON, CSIRT NASK lub CSIRT GOV przeprowadzenie analizy dotyczącej wpływu konkretnych produktów ICT, usług ICT lub procesów ICT na bezpieczeństwo usług świadczonych przez podmioty określone w art. 67b ust. 1, uwzględniającej informacje przekazane przez państwa członkowskie Unii Europejskiej lub organy Unii Europejskiej i Organizacji Traktatu Północnoatlantyckiego oraz przekazane przez sektor prywatny.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Przewodniczący Kolegium, działając z urzędu lub na wniosek członka Kolegium, może zlecić CSIRT MON, CSIRT NASK lub CSIRT GOV, przeprowadzenie analizy dotyczącej trybu i zakresu, w jakim dostawca sprzętu lub oprogramowania, o którym mowa w art. 67b ust. 1, sprawuje nadzór nad procesem wytwarzania i dostarczania produktów ICT, usług ICT lub procesów ICT.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Zadania, o których mowa w ust. 1 i 2, są wykonywane w ramach ustawowych zadań odpowiednio CSIRT MON, CSIRT NASK lub CSIRT GOV.</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[Skład Kolegium; Przewodniczący i Sekretarz Kolegium; szczegółowy zakres działania i tryb pracy Kolegium]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skład Kolegium wchodzą: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przewodniczący Kolegium - Prezes Rady Ministrów;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Pełnomocnik;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sekretarz Kolegium;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członkowie Kolegium: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Minister Obrony Narodowej,</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zagranicznych,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Szef Kancelarii Prezesa Rady Ministrów,</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Szef Biura Bezpieczeństwa Narodowego, jeżeli został wyznaczony przez Prezydenta Rzeczypospolitej Polskiej,</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minister - członek Rady Ministrów właściwy do spraw koordynowania działalności służb specjalnych lub osoba przez niego upoważniona w randze sekretarza stanu albo podsekretarza stanu, a jeżeli minister - członek Rady Ministrów właściwy do spraw koordynowania działalności służb specjalnych nie został wyznaczony - Szef Agencji Bezpieczeństwa Wewnętrznego,</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vertAlign w:val="superscript"/>
          <w:lang w:val="pl-PL"/>
        </w:rPr>
        <w:t>431</w:t>
      </w:r>
      <w:r>
        <w:rPr>
          <w:rFonts w:ascii="Times New Roman"/>
          <w:b w:val="false"/>
          <w:i w:val="false"/>
          <w:color w:val="000000"/>
          <w:sz w:val="24"/>
          <w:lang w:val="pl-PL"/>
        </w:rPr>
        <w:t xml:space="preserve"> </w:t>
      </w:r>
      <w:r>
        <w:rPr>
          <w:rFonts w:ascii="Times New Roman"/>
          <w:b w:val="false"/>
          <w:i w:val="false"/>
          <w:color w:val="000000"/>
          <w:sz w:val="24"/>
          <w:lang w:val="pl-PL"/>
        </w:rPr>
        <w:t>organy właściwe do spraw cyberbezpieczeństwa.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może upoważnić Pełnomocnika do pełnienia funkcji przewodniczącego Kolegium.</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432</w:t>
      </w:r>
      <w:r>
        <w:rPr>
          <w:rFonts w:ascii="Times New Roman"/>
          <w:b w:val="false"/>
          <w:i w:val="false"/>
          <w:color w:val="000000"/>
          <w:sz w:val="24"/>
          <w:lang w:val="pl-PL"/>
        </w:rPr>
        <w:t xml:space="preserve"> </w:t>
      </w:r>
      <w:r>
        <w:rPr>
          <w:rFonts w:ascii="Times New Roman"/>
          <w:b w:val="false"/>
          <w:i w:val="false"/>
          <w:color w:val="000000"/>
          <w:sz w:val="24"/>
          <w:lang w:val="pl-PL"/>
        </w:rPr>
        <w:t>Członkowie Kolegium, o których mowa w ust. 1 pkt 4 lit. a-e oraz lit. h, mogą być zastępowani przez upoważnionych przedstawicieli w randze sekretarza stanu, podsekretarza stanu, wiceprezesa urzędu lub zastępcy przewodniczącego.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posiedzeniach Kolegium uczestniczą również: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433</w:t>
      </w:r>
      <w:r>
        <w:rPr>
          <w:rFonts w:ascii="Times New Roman"/>
          <w:b w:val="false"/>
          <w:i w:val="false"/>
          <w:color w:val="000000"/>
          <w:sz w:val="24"/>
          <w:lang w:val="pl-PL"/>
        </w:rPr>
        <w:t xml:space="preserve"> </w:t>
      </w:r>
      <w:r>
        <w:rPr>
          <w:rFonts w:ascii="Times New Roman"/>
          <w:b w:val="false"/>
          <w:i w:val="false"/>
          <w:color w:val="000000"/>
          <w:sz w:val="24"/>
          <w:lang w:val="pl-PL"/>
        </w:rPr>
        <w:t>dyrektor Rządowego Centrum Bezpieczeństwa albo jego zastępca;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Szef Agencji Bezpieczeństwa Wewnętrznego albo jego zastępca;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Szef Służby Kontrwywiadu Wojskowego albo jego zastępca;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Dyrektor Naukowej i Akademickiej Sieci Komputerowej - Państwowego Instytutu Badawczego;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Przewodniczący Komisji Nadzoru Finansowego;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434</w:t>
      </w:r>
      <w:r>
        <w:rPr>
          <w:rFonts w:ascii="Times New Roman"/>
          <w:b w:val="false"/>
          <w:i w:val="false"/>
          <w:color w:val="000000"/>
          <w:sz w:val="24"/>
          <w:lang w:val="pl-PL"/>
        </w:rPr>
        <w:t xml:space="preserve"> </w:t>
      </w:r>
      <w:r>
        <w:rPr>
          <w:rFonts w:ascii="Times New Roman"/>
          <w:b w:val="false"/>
          <w:i w:val="false"/>
          <w:color w:val="000000"/>
          <w:sz w:val="24"/>
          <w:lang w:val="pl-PL"/>
        </w:rPr>
        <w:t>Dowódca Komponentu Wojsk Obrony Cyberprzestrzeni albo jego zastępca;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435</w:t>
      </w:r>
      <w:r>
        <w:rPr>
          <w:rFonts w:ascii="Times New Roman"/>
          <w:b w:val="false"/>
          <w:i w:val="false"/>
          <w:color w:val="000000"/>
          <w:sz w:val="24"/>
          <w:lang w:val="pl-PL"/>
        </w:rPr>
        <w:t xml:space="preserve"> </w:t>
      </w:r>
      <w:r>
        <w:rPr>
          <w:rFonts w:ascii="Times New Roman"/>
          <w:b w:val="false"/>
          <w:i w:val="false"/>
          <w:color w:val="000000"/>
          <w:sz w:val="24"/>
          <w:lang w:val="pl-PL"/>
        </w:rPr>
        <w:t>Prokurator Generalny albo jego zastępca;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436</w:t>
      </w:r>
      <w:r>
        <w:rPr>
          <w:rFonts w:ascii="Times New Roman"/>
          <w:b w:val="false"/>
          <w:i w:val="false"/>
          <w:color w:val="000000"/>
          <w:sz w:val="24"/>
          <w:lang w:val="pl-PL"/>
        </w:rPr>
        <w:t xml:space="preserve"> </w:t>
      </w:r>
      <w:r>
        <w:rPr>
          <w:rFonts w:ascii="Times New Roman"/>
          <w:b w:val="false"/>
          <w:i w:val="false"/>
          <w:color w:val="000000"/>
          <w:sz w:val="24"/>
          <w:lang w:val="pl-PL"/>
        </w:rPr>
        <w:t>Szef Agencji Wywiadu albo jego zastępca;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vertAlign w:val="superscript"/>
          <w:lang w:val="pl-PL"/>
        </w:rPr>
        <w:t>437</w:t>
      </w:r>
      <w:r>
        <w:rPr>
          <w:rFonts w:ascii="Times New Roman"/>
          <w:b w:val="false"/>
          <w:i w:val="false"/>
          <w:color w:val="000000"/>
          <w:sz w:val="24"/>
          <w:lang w:val="pl-PL"/>
        </w:rPr>
        <w:t xml:space="preserve"> </w:t>
      </w:r>
      <w:r>
        <w:rPr>
          <w:rFonts w:ascii="Times New Roman"/>
          <w:b w:val="false"/>
          <w:i w:val="false"/>
          <w:color w:val="000000"/>
          <w:sz w:val="24"/>
          <w:lang w:val="pl-PL"/>
        </w:rPr>
        <w:t>Szef Służby Wywiadu Wojskowego albo jego zastępca.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Przewodniczący Kolegium: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zwołuje posiedzenia Kolegium;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może zapraszać do udziału w posiedzeniach Kolegium przewodniczących właściwych komisji sejmowych, przedstawicieli organów państwowych, przedstawicieli organów właściwych do spraw cyberbezpieczeństwa oraz inne osoby, których uczestnictwo jest niezbędne ze względu na tematykę obrad;</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438</w:t>
      </w:r>
      <w:r>
        <w:rPr>
          <w:rFonts w:ascii="Times New Roman"/>
          <w:b w:val="false"/>
          <w:i w:val="false"/>
          <w:color w:val="000000"/>
          <w:sz w:val="24"/>
          <w:lang w:val="pl-PL"/>
        </w:rPr>
        <w:t xml:space="preserve"> </w:t>
      </w:r>
      <w:r>
        <w:rPr>
          <w:rFonts w:ascii="Times New Roman"/>
          <w:b w:val="false"/>
          <w:i w:val="false"/>
          <w:color w:val="000000"/>
          <w:sz w:val="24"/>
          <w:lang w:val="pl-PL"/>
        </w:rPr>
        <w:t>może pisemnie wnioskować o przeprowadzenie badania, o którym mowa w art. 33 ust. 1;</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439</w:t>
      </w:r>
      <w:r>
        <w:rPr>
          <w:rFonts w:ascii="Times New Roman"/>
          <w:b w:val="false"/>
          <w:i w:val="false"/>
          <w:color w:val="000000"/>
          <w:sz w:val="24"/>
          <w:lang w:val="pl-PL"/>
        </w:rPr>
        <w:t xml:space="preserve"> </w:t>
      </w:r>
      <w:r>
        <w:rPr>
          <w:rFonts w:ascii="Times New Roman"/>
          <w:b w:val="false"/>
          <w:i w:val="false"/>
          <w:color w:val="000000"/>
          <w:sz w:val="24"/>
          <w:lang w:val="pl-PL"/>
        </w:rPr>
        <w:t>może zlecić CSIRT MON, CSIRT NASK lub CSIRT GOV, przeprowadzenie analizy dotyczącej wpływu konkretnych produktów ICT, usług ICT lub procesów ICT na bezpieczeństwo usług, o której mowa w art. 65a ust. 1;</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440</w:t>
      </w:r>
      <w:r>
        <w:rPr>
          <w:rFonts w:ascii="Times New Roman"/>
          <w:b w:val="false"/>
          <w:i w:val="false"/>
          <w:color w:val="000000"/>
          <w:sz w:val="24"/>
          <w:lang w:val="pl-PL"/>
        </w:rPr>
        <w:t xml:space="preserve"> </w:t>
      </w:r>
      <w:r>
        <w:rPr>
          <w:rFonts w:ascii="Times New Roman"/>
          <w:b w:val="false"/>
          <w:i w:val="false"/>
          <w:color w:val="000000"/>
          <w:sz w:val="24"/>
          <w:lang w:val="pl-PL"/>
        </w:rPr>
        <w:t>może zlecić CSIRT MON, CSIRT NASK lub CSIRT GOV, przeprowadzenie analizy dotyczącej trybu i zakresu, w jakim dostawca sprawuje nadzór nad procesem wytwarzania i dostarczania produktów ICT, usług ICT lub procesów ICT, o której mowa w art. 65a ust. 2;</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441</w:t>
      </w:r>
      <w:r>
        <w:rPr>
          <w:rFonts w:ascii="Times New Roman"/>
          <w:b w:val="false"/>
          <w:i w:val="false"/>
          <w:color w:val="000000"/>
          <w:sz w:val="24"/>
          <w:lang w:val="pl-PL"/>
        </w:rPr>
        <w:t xml:space="preserve"> </w:t>
      </w:r>
      <w:r>
        <w:rPr>
          <w:rFonts w:ascii="Times New Roman"/>
          <w:b w:val="false"/>
          <w:i w:val="false"/>
          <w:color w:val="000000"/>
          <w:sz w:val="24"/>
          <w:lang w:val="pl-PL"/>
        </w:rPr>
        <w:t>może wnioskować o wszczęcie postępowania w sprawie uznania dostawcy sprzętu lub oprogramowania za dostawcę wysokiego ryzyka, o którym mowa w art. 67b ust. 1;</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442</w:t>
      </w:r>
      <w:r>
        <w:rPr>
          <w:rFonts w:ascii="Times New Roman"/>
          <w:b w:val="false"/>
          <w:i w:val="false"/>
          <w:color w:val="000000"/>
          <w:sz w:val="24"/>
          <w:lang w:val="pl-PL"/>
        </w:rPr>
        <w:t xml:space="preserve"> </w:t>
      </w:r>
      <w:r>
        <w:rPr>
          <w:rFonts w:ascii="Times New Roman"/>
          <w:b w:val="false"/>
          <w:i w:val="false"/>
          <w:color w:val="000000"/>
          <w:sz w:val="24"/>
          <w:lang w:val="pl-PL"/>
        </w:rPr>
        <w:t>powołuje zespół opiniujący, o którym mowa w art. 67b ust. 13 pkt 1, oraz wskazuje przedstawicieli członków Kolegium wchodzących w jego skład;</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443</w:t>
      </w:r>
      <w:r>
        <w:rPr>
          <w:rFonts w:ascii="Times New Roman"/>
          <w:b w:val="false"/>
          <w:i w:val="false"/>
          <w:color w:val="000000"/>
          <w:sz w:val="24"/>
          <w:lang w:val="pl-PL"/>
        </w:rPr>
        <w:t xml:space="preserve"> </w:t>
      </w:r>
      <w:r>
        <w:rPr>
          <w:rFonts w:ascii="Times New Roman"/>
          <w:b w:val="false"/>
          <w:i w:val="false"/>
          <w:color w:val="000000"/>
          <w:sz w:val="24"/>
          <w:lang w:val="pl-PL"/>
        </w:rPr>
        <w:t>rozstrzyga spór, o którym mowa w art. 67b ust. 13 pkt 3, wskazując właściwego członka zespołu opiniującego.</w:t>
      </w:r>
    </w:p>
    <w:p>
      <w:pPr>
        <w:spacing w:before="26" w:after="0"/>
        <w:ind w:left="0"/>
        <w:jc w:val="left"/>
        <w:textAlignment w:val="auto"/>
      </w:pPr>
      <w:r>
        <w:rPr>
          <w:rFonts w:ascii="Times New Roman"/>
          <w:b w:val="false"/>
          <w:i w:val="false"/>
          <w:color w:val="000000"/>
          <w:sz w:val="24"/>
          <w:lang w:val="pl-PL"/>
        </w:rPr>
        <w:t xml:space="preserve">5a. </w:t>
      </w:r>
      <w:r>
        <w:rPr>
          <w:rFonts w:ascii="Times New Roman"/>
          <w:b w:val="false"/>
          <w:i w:val="false"/>
          <w:color w:val="000000"/>
          <w:sz w:val="24"/>
          <w:vertAlign w:val="superscript"/>
          <w:lang w:val="pl-PL"/>
        </w:rPr>
        <w:t>444</w:t>
      </w:r>
      <w:r>
        <w:rPr>
          <w:rFonts w:ascii="Times New Roman"/>
          <w:b w:val="false"/>
          <w:i w:val="false"/>
          <w:color w:val="000000"/>
          <w:sz w:val="24"/>
          <w:lang w:val="pl-PL"/>
        </w:rPr>
        <w:t xml:space="preserve"> </w:t>
      </w:r>
      <w:r>
        <w:rPr>
          <w:rFonts w:ascii="Times New Roman"/>
          <w:b w:val="false"/>
          <w:i w:val="false"/>
          <w:color w:val="000000"/>
          <w:sz w:val="24"/>
          <w:lang w:val="pl-PL"/>
        </w:rPr>
        <w:t>Kolegium przyjmuje i rozpatruje sprawy na posiedzeniu albo w drodze korespondencyjnego uzgodnienia stanowisk (tryb obiegowy).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Sekretarza Kolegium powołuje Prezes Rady Ministrów spośród osób spełniających wymagania określone w przepisach o ochronie informacji niejawnych w zakresie dostępu do informacji niejawnych o klauzuli "tajne". Sekretarza Kolegium odwołuje Prezes Rady Ministrów.</w:t>
      </w:r>
    </w:p>
    <w:p>
      <w:pPr>
        <w:spacing w:before="26"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445</w:t>
      </w:r>
      <w:r>
        <w:rPr>
          <w:rFonts w:ascii="Times New Roman"/>
          <w:b w:val="false"/>
          <w:i w:val="false"/>
          <w:color w:val="000000"/>
          <w:sz w:val="24"/>
          <w:lang w:val="pl-PL"/>
        </w:rPr>
        <w:t xml:space="preserve"> </w:t>
      </w:r>
      <w:r>
        <w:rPr>
          <w:rFonts w:ascii="Times New Roman"/>
          <w:b w:val="false"/>
          <w:i w:val="false"/>
          <w:color w:val="000000"/>
          <w:sz w:val="24"/>
          <w:lang w:val="pl-PL"/>
        </w:rPr>
        <w:t>Sekretarz Kolegium organizuje pracę Kolegium i w tym zakresie może występować do CSIRT MON, CSIRT GOV, CSIRT NASK, CSIRT sektorowych, organów właściwych do spraw cyberbezpieczeństwa oraz organów administracji rządowej o przedstawienie informacji niezbędnych w sprawach rozpatrywanych przez Kolegium.</w:t>
      </w:r>
    </w:p>
    <w:p>
      <w:pPr>
        <w:spacing w:before="26" w:after="0"/>
        <w:ind w:left="0"/>
        <w:jc w:val="left"/>
        <w:textAlignment w:val="auto"/>
      </w:pPr>
      <w:r>
        <w:rPr>
          <w:rFonts w:ascii="Times New Roman"/>
          <w:b w:val="false"/>
          <w:i w:val="false"/>
          <w:color w:val="000000"/>
          <w:sz w:val="24"/>
          <w:lang w:val="pl-PL"/>
        </w:rPr>
        <w:t xml:space="preserve">7a. </w:t>
      </w:r>
      <w:r>
        <w:rPr>
          <w:rFonts w:ascii="Times New Roman"/>
          <w:b w:val="false"/>
          <w:i w:val="false"/>
          <w:color w:val="000000"/>
          <w:sz w:val="24"/>
          <w:vertAlign w:val="superscript"/>
          <w:lang w:val="pl-PL"/>
        </w:rPr>
        <w:t>446</w:t>
      </w:r>
      <w:r>
        <w:rPr>
          <w:rFonts w:ascii="Times New Roman"/>
          <w:b w:val="false"/>
          <w:i w:val="false"/>
          <w:color w:val="000000"/>
          <w:sz w:val="24"/>
          <w:lang w:val="pl-PL"/>
        </w:rPr>
        <w:t xml:space="preserve"> </w:t>
      </w:r>
      <w:r>
        <w:rPr>
          <w:rFonts w:ascii="Times New Roman"/>
          <w:b w:val="false"/>
          <w:i w:val="false"/>
          <w:color w:val="000000"/>
          <w:sz w:val="24"/>
          <w:lang w:val="pl-PL"/>
        </w:rPr>
        <w:t>Sekretarz Kolegium może powołać swojego zastępcę spośród osób spełniających wymagania określone w ust. 6. Zastępcę sekretarza Kolegium odwołuje sekretarz Kolegium.</w:t>
      </w:r>
    </w:p>
    <w:p>
      <w:pPr>
        <w:spacing w:before="26" w:after="0"/>
        <w:ind w:left="0"/>
        <w:jc w:val="left"/>
        <w:textAlignment w:val="auto"/>
      </w:pPr>
      <w:r>
        <w:rPr>
          <w:rFonts w:ascii="Times New Roman"/>
          <w:b w:val="false"/>
          <w:i w:val="false"/>
          <w:color w:val="000000"/>
          <w:sz w:val="24"/>
          <w:lang w:val="pl-PL"/>
        </w:rPr>
        <w:t xml:space="preserve">7b. </w:t>
      </w:r>
      <w:r>
        <w:rPr>
          <w:rFonts w:ascii="Times New Roman"/>
          <w:b w:val="false"/>
          <w:i w:val="false"/>
          <w:color w:val="000000"/>
          <w:sz w:val="24"/>
          <w:vertAlign w:val="superscript"/>
          <w:lang w:val="pl-PL"/>
        </w:rPr>
        <w:t>447</w:t>
      </w:r>
      <w:r>
        <w:rPr>
          <w:rFonts w:ascii="Times New Roman"/>
          <w:b w:val="false"/>
          <w:i w:val="false"/>
          <w:color w:val="000000"/>
          <w:sz w:val="24"/>
          <w:lang w:val="pl-PL"/>
        </w:rPr>
        <w:t xml:space="preserve"> </w:t>
      </w:r>
      <w:r>
        <w:rPr>
          <w:rFonts w:ascii="Times New Roman"/>
          <w:b w:val="false"/>
          <w:i w:val="false"/>
          <w:color w:val="000000"/>
          <w:sz w:val="24"/>
          <w:lang w:val="pl-PL"/>
        </w:rPr>
        <w:t>W przypadku nieobecności sekretarza Kolegium jego obowiązki wykonuje zastępca sekretarza Kolegium, w tym zastępuje go na posiedzeniu Kolegium.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Obsługę Kolegium zapewnia ministerstwo lub inny urząd administracji rządowej, który obsługuje Pełnomocnika.</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Rada Ministrów określi, w drodze rozporządzenia, szczegółowy zakres działania oraz tryb pracy Kolegium, mając na uwadze charakter zadań Kolegium oraz konieczność zapewnienia jego sprawnej pracy.</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[Wytyczne Prezesa Rady Ministrów wydawane na podstawie rekomendacji Kolegium]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w celu koordynacji działań administracji rządowej w zakresie cyberbezpieczeństwa może, na podstawie rekomendacji Kolegium, wydawać wiążące wytyczne dotyczące zapewnienia cyberbezpieczeństwa na poziomie krajowym oraz funkcjonowania krajowego systemu cyberbezpieczeństwa, a także żądać informacji i opinii w tym zakresie od:</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wewnętrznych - w odniesieniu do działalności Policji, Straży Granicznej i Służby Ochrony Państwa;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Ministra Obrony Narodowej - w odniesieniu do działalności CSIRT MON;</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Szefa Agencji Bezpieczeństwa Wewnętrznego - w odniesieniu do działalności CSIRT GOV;</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Dyrektora Rządowego Centrum Bezpieczeństwa - w odniesieniu do zadań realizowanych zgodnie z ustawą;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Dyrektora Naukowej i Akademickiej Sieci Komputerowej - Państwowego Instytutu Badawczego - w odniesieniu do działalności CSIRT NASK;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informatyzacji - w odniesieniu do zadań realizowanych zgodnie z ustawą.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wydaje wiążące wytyczne dla CSIRT MON, CSIRT GOV i CSIRT NASK w zakresie obsługi incydentów krytycznych, w tym wskazuje CSIRT odpowiedzialny za obsługę incydentu krytycznego.</w:t>
      </w:r>
    </w:p>
    <w:p>
      <w:pPr>
        <w:spacing w:before="89" w:after="0"/>
        <w:ind w:left="0"/>
        <w:jc w:val="center"/>
        <w:textAlignment w:val="auto"/>
      </w:pPr>
      <w:r>
        <w:rPr>
          <w:rFonts w:ascii="Times New Roman"/>
          <w:b/>
          <w:i w:val="false"/>
          <w:color w:val="000000"/>
          <w:sz w:val="24"/>
          <w:lang w:val="pl-PL"/>
        </w:rPr>
        <w:t xml:space="preserve">Rozdział 12a </w:t>
      </w:r>
      <w:r>
        <w:rPr>
          <w:rFonts w:ascii="Times New Roman"/>
          <w:b/>
          <w:i w:val="false"/>
          <w:color w:val="000000"/>
          <w:sz w:val="24"/>
          <w:vertAlign w:val="superscript"/>
          <w:lang w:val="pl-PL"/>
        </w:rPr>
        <w:t>448</w:t>
      </w:r>
    </w:p>
    <w:p>
      <w:pPr>
        <w:spacing w:before="25" w:after="0"/>
        <w:ind w:left="0"/>
        <w:jc w:val="center"/>
        <w:textAlignment w:val="auto"/>
      </w:pPr>
      <w:r>
        <w:rPr>
          <w:rFonts w:ascii="Times New Roman"/>
          <w:b/>
          <w:i w:val="false"/>
          <w:color w:val="000000"/>
          <w:sz w:val="24"/>
          <w:lang w:val="pl-PL"/>
        </w:rPr>
        <w:t>Szczególne działania na rzecz zapewnienia cyberbezpieczeństwa na poziomie krajowym</w:t>
      </w:r>
    </w:p>
    <w:p>
      <w:pPr>
        <w:spacing w:before="80" w:after="0"/>
        <w:ind w:left="0"/>
        <w:jc w:val="left"/>
        <w:textAlignment w:val="auto"/>
      </w:pPr>
      <w:r>
        <w:rPr>
          <w:rFonts w:ascii="Times New Roman"/>
          <w:b/>
          <w:i w:val="false"/>
          <w:color w:val="000000"/>
          <w:sz w:val="24"/>
          <w:lang w:val="pl-PL"/>
        </w:rPr>
        <w:t xml:space="preserve"> Art. 67a.</w:t>
      </w:r>
      <w:r>
        <w:rPr>
          <w:rFonts w:ascii="Times New Roman"/>
          <w:b/>
          <w:i w:val="false"/>
          <w:color w:val="000000"/>
          <w:sz w:val="24"/>
          <w:lang w:val="pl-PL"/>
        </w:rPr>
        <w:t xml:space="preserve"> [Rekomendacje Pełnomocnika Rządu do Spraw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Pełnomocnik może wydać rekomendacje określające środki techniczne i organizacyjne stosowane w celu zwiększania poziomu bezpieczeństwa systemów informacyjnych podmiotów krajowego systemu cyberbezpieczeństwa.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Rekomendacje Pełnomocnika są publikowane na stronie podmiotowej Biuletynu Informacji Publicznej Pełnomocnika.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Pełnomocnik przed wydaniem rekomendacji może zasięgnąć opinii Kolegium.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rekomendacjach Pełnomocnik może wskazać kategorie podmiotów, do których kierowane są rekomendacje.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Stosowanie rekomendacji jest dobrowolne.</w:t>
      </w:r>
    </w:p>
    <w:p>
      <w:pPr>
        <w:spacing w:before="80" w:after="0"/>
        <w:ind w:left="0"/>
        <w:jc w:val="left"/>
        <w:textAlignment w:val="auto"/>
      </w:pPr>
      <w:r>
        <w:rPr>
          <w:rFonts w:ascii="Times New Roman"/>
          <w:b/>
          <w:i w:val="false"/>
          <w:color w:val="000000"/>
          <w:sz w:val="24"/>
          <w:lang w:val="pl-PL"/>
        </w:rPr>
        <w:t xml:space="preserve"> Art. 67b.</w:t>
      </w:r>
      <w:r>
        <w:rPr>
          <w:rFonts w:ascii="Times New Roman"/>
          <w:b/>
          <w:i w:val="false"/>
          <w:color w:val="000000"/>
          <w:sz w:val="24"/>
          <w:lang w:val="pl-PL"/>
        </w:rPr>
        <w:t xml:space="preserve"> [Postępowanie w sprawie uznania za dostawcę wysokiego ryzyka]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 celu ochrony bezpieczeństwa państwa lub bezpieczeństwa i porządku publicznego, może wszcząć, z urzędu albo na wniosek przewodniczącego Kolegium, postępowanie w sprawie uznania dostawcy sprzętu lub oprogramowania, które są wykorzystywane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kluczowe lub podmioty ważne, z wyłączeniem podsektora komunikacji elektronicznej,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przedsiębiorców komunikacji elektronicznej, których roczne przychody z tytułu wykonywania działalności telekomunikacyjnej w poprzednim roku obrotowym były wyższe od kwoty 10 milionów złotych,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finansowe, z wyłączeniem podmiotów określonych w </w:t>
      </w:r>
      <w:r>
        <w:rPr>
          <w:rFonts w:ascii="Times New Roman"/>
          <w:b w:val="false"/>
          <w:i w:val="false"/>
          <w:color w:val="1b1b1b"/>
          <w:sz w:val="24"/>
          <w:lang w:val="pl-PL"/>
        </w:rPr>
        <w:t>art. 16</w:t>
      </w:r>
      <w:r>
        <w:rPr>
          <w:rFonts w:ascii="Times New Roman"/>
          <w:b w:val="false"/>
          <w:i w:val="false"/>
          <w:color w:val="000000"/>
          <w:sz w:val="24"/>
          <w:lang w:val="pl-PL"/>
        </w:rPr>
        <w:t xml:space="preserve"> rozporządzenia 2022/2554</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za dostawcę wysokiego ryzyka.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uznania za dostawcę wysokiego ryzyka, jeżeli ustawa nie stanowi inaczej,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z wyłączeniem </w:t>
      </w:r>
      <w:r>
        <w:rPr>
          <w:rFonts w:ascii="Times New Roman"/>
          <w:b w:val="false"/>
          <w:i w:val="false"/>
          <w:color w:val="1b1b1b"/>
          <w:sz w:val="24"/>
          <w:lang w:val="pl-PL"/>
        </w:rPr>
        <w:t>art. 28</w:t>
      </w:r>
      <w:r>
        <w:rPr>
          <w:rFonts w:ascii="Times New Roman"/>
          <w:b w:val="false"/>
          <w:i w:val="false"/>
          <w:color w:val="000000"/>
          <w:sz w:val="24"/>
          <w:lang w:val="pl-PL"/>
        </w:rPr>
        <w:t xml:space="preserve">, </w:t>
      </w:r>
      <w:r>
        <w:rPr>
          <w:rFonts w:ascii="Times New Roman"/>
          <w:b w:val="false"/>
          <w:i w:val="false"/>
          <w:color w:val="1b1b1b"/>
          <w:sz w:val="24"/>
          <w:lang w:val="pl-PL"/>
        </w:rPr>
        <w:t>art. 31</w:t>
      </w:r>
      <w:r>
        <w:rPr>
          <w:rFonts w:ascii="Times New Roman"/>
          <w:b w:val="false"/>
          <w:i w:val="false"/>
          <w:color w:val="000000"/>
          <w:sz w:val="24"/>
          <w:lang w:val="pl-PL"/>
        </w:rPr>
        <w:t xml:space="preserve">, </w:t>
      </w:r>
      <w:r>
        <w:rPr>
          <w:rFonts w:ascii="Times New Roman"/>
          <w:b w:val="false"/>
          <w:i w:val="false"/>
          <w:color w:val="1b1b1b"/>
          <w:sz w:val="24"/>
          <w:lang w:val="pl-PL"/>
        </w:rPr>
        <w:t>art. 51</w:t>
      </w:r>
      <w:r>
        <w:rPr>
          <w:rFonts w:ascii="Times New Roman"/>
          <w:b w:val="false"/>
          <w:i w:val="false"/>
          <w:color w:val="000000"/>
          <w:sz w:val="24"/>
          <w:lang w:val="pl-PL"/>
        </w:rPr>
        <w:t xml:space="preserve">, </w:t>
      </w:r>
      <w:r>
        <w:rPr>
          <w:rFonts w:ascii="Times New Roman"/>
          <w:b w:val="false"/>
          <w:i w:val="false"/>
          <w:color w:val="1b1b1b"/>
          <w:sz w:val="24"/>
          <w:lang w:val="pl-PL"/>
        </w:rPr>
        <w:t>art. 66a</w:t>
      </w:r>
      <w:r>
        <w:rPr>
          <w:rFonts w:ascii="Times New Roman"/>
          <w:b w:val="false"/>
          <w:i w:val="false"/>
          <w:color w:val="000000"/>
          <w:sz w:val="24"/>
          <w:lang w:val="pl-PL"/>
        </w:rPr>
        <w:t xml:space="preserve"> i </w:t>
      </w:r>
      <w:r>
        <w:rPr>
          <w:rFonts w:ascii="Times New Roman"/>
          <w:b w:val="false"/>
          <w:i w:val="false"/>
          <w:color w:val="1b1b1b"/>
          <w:sz w:val="24"/>
          <w:lang w:val="pl-PL"/>
        </w:rPr>
        <w:t>art. 79</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Stroną postępowania w sprawie uznania za dostawcę wysokiego ryzyka jest każdy, wobec kogo zostało wszczęte postępowanie w sprawie uznania za dostawcę wysokiego ryzyka.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uznania za dostawcę wysokiego ryzyka może przystąpić, na wniosek, na prawach strony, przedsiębiorca telekomunikacyjny mający siedzibę na terytorium Rzeczypospolitej Polskiej wpisany do rejestru przedsiębiorców telekomunikacyjnych, który w poprzednim roku obrotowym uzyskał przychód z tytułu prowadzenia działalności telekomunikacyjnej w wysokości co najmniej dwudziestotysięcznej krotności przeciętnego wynagrodzenia w gospodarce narodowej wskazanego w ostatnim komunikacie Prezesa Głównego Urzędu Statystycznego, o którym mowa w </w:t>
      </w:r>
      <w:r>
        <w:rPr>
          <w:rFonts w:ascii="Times New Roman"/>
          <w:b w:val="false"/>
          <w:i w:val="false"/>
          <w:color w:val="1b1b1b"/>
          <w:sz w:val="24"/>
          <w:lang w:val="pl-PL"/>
        </w:rPr>
        <w:t>art. 20 pkt 1 lit. a</w:t>
      </w:r>
      <w:r>
        <w:rPr>
          <w:rFonts w:ascii="Times New Roman"/>
          <w:b w:val="false"/>
          <w:i w:val="false"/>
          <w:color w:val="000000"/>
          <w:sz w:val="24"/>
          <w:lang w:val="pl-PL"/>
        </w:rPr>
        <w:t xml:space="preserve"> ustawy z dnia 17 grudnia 1998 r. o emeryturach i rentach z Funduszu Ubezpieczeń Społecznych (Dz. U. z 2025 r. poz. 1749 oraz z 2026 r. poz. 26). Przepisy </w:t>
      </w:r>
      <w:r>
        <w:rPr>
          <w:rFonts w:ascii="Times New Roman"/>
          <w:b w:val="false"/>
          <w:i w:val="false"/>
          <w:color w:val="1b1b1b"/>
          <w:sz w:val="24"/>
          <w:lang w:val="pl-PL"/>
        </w:rPr>
        <w:t>art. 31 §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ustawy z dnia 14 czerwca 1960 r. - Kodeks postępowania administracyjnego stosuje się odpowiednio.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 poprzedni rok obrotowy uznaje się rok, przed którym postępowanie zostało wszczęte. Za ostatni komunikat Prezesa Głównego Urzędu Statystycznego uznaje się ostatni komunikat Prezesa Głównego Urzędu Statystycznego ogłoszony przed wszczęciem postępowania.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zawiadamia o wszczęciu postępowania w sprawie uznania za dostawcę wysokiego ryzyka. Zawiadomienie publikuje się także na stronie podmiotowej Biuletynu Informacji Publicznej ministra właściwego do spraw informatyzacji, niezwłocznie po doręczeniu tego zawiadomienia.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zawiadamia Prokuratora Generalnego o wszczęciu postępowania w sprawie uznania za dostawcę wysokiego ryzyka.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Jeżeli dostawcą sprzętu lub oprogramowania jest strona niemająca siedziby na terytorium państwa członkowskiego Unii Europejskiej, Konfederacji Szwajcarskiej albo państwa członkowskiego Europejskiego Porozumienia o Wolnym Handlu (EFTA) - strony umowy o Europejskim Obszarze Gospodarczym zawiadomienie, o którym mowa w ust. 6, publikuje się na stronie podmiotowej Biuletynu Informacji Publicznej ministra właściwego do spraw informatyzacji. Udostępnienie ma skutek doręczenia zawiadomienia stronie po upływie 14 dni od dnia jego dokonania.</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terminie 14 dni od dnia opublikowania na stronie podmiotowej Biuletynu Informacji Publicznej ministra właściwego do spraw informatyzacji zawiadomienia, o którym mowa w ust. 6 i 8, organizacja społeczna może przedstawić ministrowi właściwemu do spraw informatyzacji stanowisko co do dostawcy sprzętu lub oprogramowania, wobec którego wszczęto postępowanie, oraz dostarczanych przez niego produktów ICT, usług ICT oraz procesów ICT. Minister właściwy do spraw informatyzacji, przed wydaniem decyzji, publikuje na swojej stronie podmiotowej Biuletynu Informacji Publicznej raport ze złożonych w terminie stanowisk, wskazując w szczególności główne uwagi zawarte w stanowiskach.</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wydaniem decyzji minister właściwy do spraw informatyzacji zasięga opinii Kolegium. Kolegium przekazuje opinię w terminie 3 miesięcy od dnia wystąpienia o opinię. Okresu od dnia wystąpienia o opinię do Kolegium do dnia jej otrzymania nie wlicza się do terminu załatwienia sprawy. Przepisu </w:t>
      </w:r>
      <w:r>
        <w:rPr>
          <w:rFonts w:ascii="Times New Roman"/>
          <w:b w:val="false"/>
          <w:i w:val="false"/>
          <w:color w:val="1b1b1b"/>
          <w:sz w:val="24"/>
          <w:lang w:val="pl-PL"/>
        </w:rPr>
        <w:t>art. 106 § 5</w:t>
      </w:r>
      <w:r>
        <w:rPr>
          <w:rFonts w:ascii="Times New Roman"/>
          <w:b w:val="false"/>
          <w:i w:val="false"/>
          <w:color w:val="000000"/>
          <w:sz w:val="24"/>
          <w:lang w:val="pl-PL"/>
        </w:rPr>
        <w:t xml:space="preserve"> ustawy z dnia 14 czerwca 1960 r. - Kodeks postępowania administracyjnego nie stosuje się.</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Opinia, o której mowa w ust. 10 zdanie pierwsze, zawiera analizę: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zagrożeń bezpieczeństwa narodowego o charakterze ekonomicznym, wywiadowczym i terrorystycznym oraz zagrożeń dla realizacji zobowiązań sojuszniczych i europejskich, jakie stanowi dostawca sprzętu lub oprogramowania, z uwzględnieniem informacji o zagrożeniach uzyskanych od państw członkowskich Unii Europejskiej lub organów Unii Europejskiej lub Organizacji Traktatu Północnoatlantyckiego;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prawdopodobieństwa z jakim dostawca sprzętu lub oprogramowania znajduje się pod kontrolą państwa spoza terytorium Unii Europejskiej lub Organizacji Traktatu Północnoatlantyckiego, z uwzględnieniem: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przepisów prawa regulujących stosunki między dostawcą sprzętu lub oprogramowania, a tym państwem oraz praktyki stosowania prawa w tym zakresie,</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prawodawstwa oraz stosowania prawa w zakresie ochrony danych osobowych, w szczególności w przypadku, gdy nie ma porozumień w zakresie ochrony tych danych między Unią Europejską i tym państwem,</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struktury własnościowej dostawcy sprzętu lub oprogramowania,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zdolności ingerencji tego państwa w swobodę działalności gospodarczej dostawcy sprzętu lub oprogramowania;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powiązań dostawcy sprzętu lub oprogramowania z podmiotami określonymi w załączniku do </w:t>
      </w:r>
      <w:r>
        <w:rPr>
          <w:rFonts w:ascii="Times New Roman"/>
          <w:b w:val="false"/>
          <w:i w:val="false"/>
          <w:color w:val="1b1b1b"/>
          <w:sz w:val="24"/>
          <w:lang w:val="pl-PL"/>
        </w:rPr>
        <w:t>rozporządzenia</w:t>
      </w:r>
      <w:r>
        <w:rPr>
          <w:rFonts w:ascii="Times New Roman"/>
          <w:b w:val="false"/>
          <w:i w:val="false"/>
          <w:color w:val="000000"/>
          <w:sz w:val="24"/>
          <w:lang w:val="pl-PL"/>
        </w:rPr>
        <w:t xml:space="preserve"> Rady (UE) 2019/796 z dnia 17 maja 2019 r. w sprawie środków ograniczających w celu zwalczania cyberataków zagrażających Unii lub jej państwom członkowskim (Dz. Urz. UE L 129I z 17.05.2019, str. 1, z późn. zm.);</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liczby i rodzajów wykrytych podatności i incydentów dotyczących typów produktów ICT lub rodzajów usług ICT lub konkretnych procesów ICT dostarczanych przez dostawcę sprzętu lub oprogramowania oraz sposobu i czasu ich eliminowania;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trybu i zakresu, w jakim dostawca sprzętu lub oprogramowania sprawuje nadzór nad procesem wytwarzania i dostarczania sprzętu lub oprogramowania dla podmiotów, o których mowa w ust. 1, oraz ryzyka dla procesu wytwarzania i dostarczania sprzętu lub oprogramowania;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treści wydanych rekomendacji, o których mowa w art. 33 ust. 4, dotyczących sprzętu lub oprogramowania danego dostawcy.</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Sporządzając opinię, o której mowa w ust. 10 zdanie pierwsze, Kolegium uwzględnia: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certyfikaty wydane dla produktów ICT, usług ICT lub procesów ICT, wydane lub uznawane w państwach członkowskich Unii Europejskiej lub Organizacji Traktatu Północnoatlantyckiego, w szczególności certyfikaty wydane w ramach europejskich programów certyfikacji cyberbezpieczeństwa;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analizy, o których mowa w art. 65a ust. 1 i 2.</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Procedura sporządzenia opinii, o której mowa w ust. 10 zdanie pierwsze, przebiega w następujący sposób:</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przewodniczący Kolegium powołuje zespół w celu opracowania projektu opinii w sprawie uznania dostawcy za dostawcę wysokiego ryzyka, zwany dalej "zespołem opiniującym", w skład którego wchodzą przedstawiciele członków Kolegium wskazani przez przewodniczącego Kolegium;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każdy członek zespołu opiniującego przygotowuje stanowisko, w zakresie swojej właściwości, które następnie przekazuje zespołowi opiniującemu;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wystąpienia negatywnego sporu co do zakresu właściwości spór rozstrzyga przewodniczący Kolegium, wskazując właściwego członka zespołu opiniującego;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nie zostały wykonane analizy, o których mowa w art. 65a ust. 1 i 2, przewodniczący Kolegium zleca ich wykonanie;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zespół opiniujący przedstawia przewodniczącemu Kolegium projekt opinii;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ustalenie opinii następuje na posiedzeniu Kolegium;</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ustaloną opinię przewodniczący Kolegium przekazuje ministrowi właściwemu do spraw informatyzacji.</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 zespole opiniującym może wziąć udział również przedstawiciel Prezesa Urzędu Ochrony Konkurencji i Konsumentów. W posiedzeniu Kolegium, na którym następuje ustalenie opinii, może wziąć udział Prezes lub Wiceprezes Urzędu Ochrony Konkurencji i Konsumentów.</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w drodze decyzji, uznaje dostawcę sprzętu lub oprogramowania oraz podmioty wchodzące w skład grupy kapitałowej, w rozumieniu </w:t>
      </w:r>
      <w:r>
        <w:rPr>
          <w:rFonts w:ascii="Times New Roman"/>
          <w:b w:val="false"/>
          <w:i w:val="false"/>
          <w:color w:val="1b1b1b"/>
          <w:sz w:val="24"/>
          <w:lang w:val="pl-PL"/>
        </w:rPr>
        <w:t>art. 3 ust. 1 pkt 44</w:t>
      </w:r>
      <w:r>
        <w:rPr>
          <w:rFonts w:ascii="Times New Roman"/>
          <w:b w:val="false"/>
          <w:i w:val="false"/>
          <w:color w:val="000000"/>
          <w:sz w:val="24"/>
          <w:lang w:val="pl-PL"/>
        </w:rPr>
        <w:t xml:space="preserve"> ustawy z dnia 29 września 1994 r. o rachunkowości, w ramach której funkcjonuje dostawca, za dostawcę wysokiego ryzyka, jeżeli dostawca ten stanowi zagrożenie dla podstawowego interesu bezpieczeństwa państwa.</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15, zawiera w szczególności wskazanie typów produktów ICT, rodzajów usług ICT lub konkretnych procesów ICT pochodzących od dostawcy sprzętu lub oprogramowania uwzględnionych w postępowaniu w sprawie uznania za dostawcę wysokiego ryzyka.</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ogłasza decyzję, o której mowa w ust. 15, w Dzienniku Urzędowym Rzeczypospolitej Polskiej "Monitor Polski" oraz publikuje na stronie podmiotowej Biuletynu Informacji Publicznej ministra właściwego do spraw informatyzacji, a także na stronie internetowej urzędu obsługującego tego ministra.</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Decyzja, o której mowa w ust. 15, podlega natychmiastowemu wykonaniu.</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Od decyzji, o której mowa w ust. 15, nie przysługuje wniosek o ponowne rozpatrzenie sprawy.</w:t>
      </w:r>
    </w:p>
    <w:p>
      <w:pPr>
        <w:spacing w:before="80" w:after="0"/>
        <w:ind w:left="0"/>
        <w:jc w:val="left"/>
        <w:textAlignment w:val="auto"/>
      </w:pPr>
      <w:r>
        <w:rPr>
          <w:rFonts w:ascii="Times New Roman"/>
          <w:b/>
          <w:i w:val="false"/>
          <w:color w:val="000000"/>
          <w:sz w:val="24"/>
          <w:lang w:val="pl-PL"/>
        </w:rPr>
        <w:t xml:space="preserve"> Art. 67c.</w:t>
      </w:r>
      <w:r>
        <w:rPr>
          <w:rFonts w:ascii="Times New Roman"/>
          <w:b/>
          <w:i w:val="false"/>
          <w:color w:val="000000"/>
          <w:sz w:val="24"/>
          <w:lang w:val="pl-PL"/>
        </w:rPr>
        <w:t xml:space="preserve"> [Konsenwencje wydania decyzji w sprawie uznania za dostawcę wysokiego ryzyka]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wydania decyzji, o której mowa w art. 67b ust. 15, podmioty, o których mowa w art. 67b ust.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wprowadzają do użytkowania typów produktów ICT, rodzajów usług ICT i konkretnych procesów ICT w zakresie objętym decyzją, dostarczanych przez dostawcę wysokiego ryzyka;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wycofują z użytkowania typy produktów ICT, rodzaje usług ICT i konkretne procesy ICT w zakresie objętym decyzją dostarczanych przez dostawcę wysokiego ryzyka niepóźniej niż w terminie 7 lat od dnia ogłoszenia decyzji, o której mowa w art. 67b ust. 15, w Dzienniku Urzędowym Rzeczypospolitej Polskiej "Monitor Polski".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Przedsiębiorcy telekomunikacyjni, o których mowa w art. 67b ust. 1 pkt 2, wycofują w ciągu 4 lat od dnia ogłoszenia decyzji, o której mowa w art. 67b ust. 15, typy produktów ICT, rodzaje usług ICT, konkretne procesy ICT wskazane w decyzji i określone w wykazie kategorii funkcji krytycznych dla bezpieczeństwa sieci i usług w załączniku nr 3 do ustawy.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czasu wycofania sprzętu lub oprogramowania, o którym mowa w ust. 1 pkt 2 oraz w ust. 2, dopuszcza się użytkowanie dotychczas posiadanych typów produktów ICT, rodzajów usług ICT i konkretnych procesów ICT w zakresie objętym decyzją, dostarczanych przez dostawcę wysokiego ryzyka, w zakresie naprawy, modernizacji, wymiany elementu lub aktualizacji, jeżeli jest to niezbędne dla zapewnienia odpowiedniej jakości i ciągłości świadczonych usług, w szczególności dokonywania niezbędnych napraw awarii lub uszkodzeń.</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art. 67b ust. 1, do których stosuje się </w:t>
      </w:r>
      <w:r>
        <w:rPr>
          <w:rFonts w:ascii="Times New Roman"/>
          <w:b w:val="false"/>
          <w:i w:val="false"/>
          <w:color w:val="1b1b1b"/>
          <w:sz w:val="24"/>
          <w:lang w:val="pl-PL"/>
        </w:rPr>
        <w:t>ustawę</w:t>
      </w:r>
      <w:r>
        <w:rPr>
          <w:rFonts w:ascii="Times New Roman"/>
          <w:b w:val="false"/>
          <w:i w:val="false"/>
          <w:color w:val="000000"/>
          <w:sz w:val="24"/>
          <w:lang w:val="pl-PL"/>
        </w:rPr>
        <w:t xml:space="preserve"> z dnia 11 września 2019 r. - Prawo zamówień publicznych (Dz. U. z 2024 r. poz. 1320, z późn. zm.), nie mogą nabywać typów produktów ICT, rodzajów usług ICT lub konkretnych procesów ICT określonych w decyzji, o której mowa w art. 67b ust. 15.</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podmioty, o których mowa w art. 67b ust. 1, do których stosuje się </w:t>
      </w:r>
      <w:r>
        <w:rPr>
          <w:rFonts w:ascii="Times New Roman"/>
          <w:b w:val="false"/>
          <w:i w:val="false"/>
          <w:color w:val="1b1b1b"/>
          <w:sz w:val="24"/>
          <w:lang w:val="pl-PL"/>
        </w:rPr>
        <w:t>ustawę</w:t>
      </w:r>
      <w:r>
        <w:rPr>
          <w:rFonts w:ascii="Times New Roman"/>
          <w:b w:val="false"/>
          <w:i w:val="false"/>
          <w:color w:val="000000"/>
          <w:sz w:val="24"/>
          <w:lang w:val="pl-PL"/>
        </w:rPr>
        <w:t xml:space="preserve"> z dnia 11 września 2019 r. - Prawo zamówień publicznych, nabyły, w drodze zamówienia publicznego, przed dniem ogłoszenia decyzji, o której mowa w art. 67b ust. 15, produkt ICT, usługę ICT lub proces ICT określone w tej decyzji, mogą korzystać z tych produktów, usług lub procesów niedłużej niż 7 lat od dnia ogłoszenia decyzji, o której mowa w art. 67b ust. 15, w Dzienniku Urzędowym Rzeczypospolitej Polskiej "Monitor Polski", a w przypadku produktów ICT, usług ICT lub procesów ICT wykorzystywanych do wykonywania funkcji krytycznych określonych w załączniku nr 3 do ustawy, niedłużej niż 4 lata od dnia ogłoszenia decyzji, o której mowa w art. 67b ust. 15.</w:t>
      </w:r>
    </w:p>
    <w:p>
      <w:pPr>
        <w:spacing w:before="80" w:after="0"/>
        <w:ind w:left="0"/>
        <w:jc w:val="left"/>
        <w:textAlignment w:val="auto"/>
      </w:pPr>
      <w:r>
        <w:rPr>
          <w:rFonts w:ascii="Times New Roman"/>
          <w:b/>
          <w:i w:val="false"/>
          <w:color w:val="000000"/>
          <w:sz w:val="24"/>
          <w:lang w:val="pl-PL"/>
        </w:rPr>
        <w:t xml:space="preserve"> Art. 67d.</w:t>
      </w:r>
      <w:r>
        <w:rPr>
          <w:rFonts w:ascii="Times New Roman"/>
          <w:b/>
          <w:i w:val="false"/>
          <w:color w:val="000000"/>
          <w:sz w:val="24"/>
          <w:lang w:val="pl-PL"/>
        </w:rPr>
        <w:t xml:space="preserve"> [Przekazywanie informacji o wycofywanych typach produktów ICT, rodzajach usług ICT i procesach ICT w zakresie objętym decyzją o uznaniu za dostawcę wysokiego ryzyka]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kluczowe lub podmioty ważne są obowiązane przekazać informacje na wniosek uprawnionych organów, o których mowa w ust. 2, o wycofywanych typach produktów ICT, rodzajach usług ICT i konkretnych procesach ICT w zakresie objętym decyzją, o której mowa w art. 67b ust. 15.</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Uprawnionymi organami do uzyskania informacji, o których mowa w ust. 1, są organy właściwe do spraw cyberbezpieczeństwa.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Wniosek, o którym mowa w ust. 1,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podmiotu obowiązanego do przekazania informacji;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 decyzji, o której mowa w art. 67b ust. 15;</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wskazanie zakresu żądanych informacji;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terminu przekazania informacji adekwatnego do zakresu tego żądania, niekrótszego niż 7 dni;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uzasadnienie;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pouczenie o zagrożeniu karą, o której mowa w art. 73 ust. 1 pkt 18 i 19.</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może zwrócić się do organów właściwych do spraw cyberbezpieczeństwa, aby uzyskały informacje, o których mowa w ust. 1.</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 wniosek ministra właściwego do spraw informatyzacji organ właściwy do spraw cyberbezpieczeństwa przekazuje uzyskane informacje, o których mowa w ust. 1, temu ministrowi.</w:t>
      </w:r>
    </w:p>
    <w:p>
      <w:pPr>
        <w:spacing w:before="80" w:after="0"/>
        <w:ind w:left="0"/>
        <w:jc w:val="left"/>
        <w:textAlignment w:val="auto"/>
      </w:pPr>
      <w:r>
        <w:rPr>
          <w:rFonts w:ascii="Times New Roman"/>
          <w:b/>
          <w:i w:val="false"/>
          <w:color w:val="000000"/>
          <w:sz w:val="24"/>
          <w:lang w:val="pl-PL"/>
        </w:rPr>
        <w:t xml:space="preserve"> Art. 67e.</w:t>
      </w:r>
      <w:r>
        <w:rPr>
          <w:rFonts w:ascii="Times New Roman"/>
          <w:b/>
          <w:i w:val="false"/>
          <w:color w:val="000000"/>
          <w:sz w:val="24"/>
          <w:lang w:val="pl-PL"/>
        </w:rPr>
        <w:t xml:space="preserve"> [Rozpatrzenie skargi na decyzję o uznaniu za dostawcę wysokiego ryzyka]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administracyjny rozpatruje skargę na decyzję, o której mowa w art. 67b ust. 15, na posiedzeniu niejawnym w składzie trzech sędziów.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Odpis sentencji wyroku z uzasadnieniem doręcza się wyłącznie ministrowi właściwemu do spraw informatyzacji. Skarżącemu doręcza się odpis wyroku z tą częścią uzasadnienia, która nie zawiera informacji niejawnych w rozumieniu przepisów o ochronie informacji niejawnych.</w:t>
      </w:r>
    </w:p>
    <w:p>
      <w:pPr>
        <w:spacing w:before="80" w:after="0"/>
        <w:ind w:left="0"/>
        <w:jc w:val="left"/>
        <w:textAlignment w:val="auto"/>
      </w:pPr>
      <w:r>
        <w:rPr>
          <w:rFonts w:ascii="Times New Roman"/>
          <w:b/>
          <w:i w:val="false"/>
          <w:color w:val="000000"/>
          <w:sz w:val="24"/>
          <w:lang w:val="pl-PL"/>
        </w:rPr>
        <w:t xml:space="preserve"> Art. 67f.</w:t>
      </w:r>
      <w:r>
        <w:rPr>
          <w:rFonts w:ascii="Times New Roman"/>
          <w:b/>
          <w:i w:val="false"/>
          <w:color w:val="000000"/>
          <w:sz w:val="24"/>
          <w:lang w:val="pl-PL"/>
        </w:rPr>
        <w:t xml:space="preserve"> [Publikacja listy produktów ICT, usług ICT i procesów ICT objętych decyzjami o uznaniu za dostawcę wysokiego ryzyka]</w:t>
      </w:r>
    </w:p>
    <w:p>
      <w:pPr>
        <w:spacing w:after="0"/>
        <w:ind w:left="0"/>
        <w:jc w:val="left"/>
        <w:textAlignment w:val="auto"/>
      </w:pPr>
      <w:r>
        <w:rPr>
          <w:rFonts w:ascii="Times New Roman"/>
          <w:b w:val="false"/>
          <w:i w:val="false"/>
          <w:color w:val="000000"/>
          <w:sz w:val="24"/>
          <w:lang w:val="pl-PL"/>
        </w:rPr>
        <w:t>Minister właściwy do spraw informatyzacji publikuje na stronie podmiotowej Biuletynu Informacji Publicznej urzędu go obsługującego listę produktów ICT, usług ICT i konkretnych procesów ICT objętych decyzjami, o których mowa w art. 67b ust. 15.</w:t>
      </w:r>
    </w:p>
    <w:p>
      <w:pPr>
        <w:spacing w:before="80" w:after="0"/>
        <w:ind w:left="0"/>
        <w:jc w:val="left"/>
        <w:textAlignment w:val="auto"/>
      </w:pPr>
      <w:r>
        <w:rPr>
          <w:rFonts w:ascii="Times New Roman"/>
          <w:b/>
          <w:i w:val="false"/>
          <w:color w:val="000000"/>
          <w:sz w:val="24"/>
          <w:lang w:val="pl-PL"/>
        </w:rPr>
        <w:t xml:space="preserve"> Art. 67g.</w:t>
      </w:r>
      <w:r>
        <w:rPr>
          <w:rFonts w:ascii="Times New Roman"/>
          <w:b/>
          <w:i w:val="false"/>
          <w:color w:val="000000"/>
          <w:sz w:val="24"/>
          <w:lang w:val="pl-PL"/>
        </w:rPr>
        <w:t xml:space="preserve"> [Wydanie polecenia zabezpieczającego]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w przypadku wystąpienia incydentu krytycznego może, w drodze decyzji, wydać polecenie zabezpieczające.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dotyczy nieokreślonej liczby podmiotów kluczowych lub podmiotów ważnych oraz podmiotów finansowych, z wyłączeniem podmiotów określonych w art. 16 rozporządzenia 2022/2554.</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o wydanie polecenia zabezpieczającego nie stosuje się przepisów </w:t>
      </w:r>
      <w:r>
        <w:rPr>
          <w:rFonts w:ascii="Times New Roman"/>
          <w:b w:val="false"/>
          <w:i w:val="false"/>
          <w:color w:val="1b1b1b"/>
          <w:sz w:val="24"/>
          <w:lang w:val="pl-PL"/>
        </w:rPr>
        <w:t>art. 10</w:t>
      </w:r>
      <w:r>
        <w:rPr>
          <w:rFonts w:ascii="Times New Roman"/>
          <w:b w:val="false"/>
          <w:i w:val="false"/>
          <w:color w:val="000000"/>
          <w:sz w:val="24"/>
          <w:lang w:val="pl-PL"/>
        </w:rPr>
        <w:t xml:space="preserve">, </w:t>
      </w:r>
      <w:r>
        <w:rPr>
          <w:rFonts w:ascii="Times New Roman"/>
          <w:b w:val="false"/>
          <w:i w:val="false"/>
          <w:color w:val="1b1b1b"/>
          <w:sz w:val="24"/>
          <w:lang w:val="pl-PL"/>
        </w:rPr>
        <w:t>art. 34</w:t>
      </w:r>
      <w:r>
        <w:rPr>
          <w:rFonts w:ascii="Times New Roman"/>
          <w:b w:val="false"/>
          <w:i w:val="false"/>
          <w:color w:val="000000"/>
          <w:sz w:val="24"/>
          <w:lang w:val="pl-PL"/>
        </w:rPr>
        <w:t xml:space="preserve">, </w:t>
      </w:r>
      <w:r>
        <w:rPr>
          <w:rFonts w:ascii="Times New Roman"/>
          <w:b w:val="false"/>
          <w:i w:val="false"/>
          <w:color w:val="1b1b1b"/>
          <w:sz w:val="24"/>
          <w:lang w:val="pl-PL"/>
        </w:rPr>
        <w:t>art. 79</w:t>
      </w:r>
      <w:r>
        <w:rPr>
          <w:rFonts w:ascii="Times New Roman"/>
          <w:b w:val="false"/>
          <w:i w:val="false"/>
          <w:color w:val="000000"/>
          <w:sz w:val="24"/>
          <w:lang w:val="pl-PL"/>
        </w:rPr>
        <w:t xml:space="preserve">, </w:t>
      </w:r>
      <w:r>
        <w:rPr>
          <w:rFonts w:ascii="Times New Roman"/>
          <w:b w:val="false"/>
          <w:i w:val="false"/>
          <w:color w:val="1b1b1b"/>
          <w:sz w:val="24"/>
          <w:lang w:val="pl-PL"/>
        </w:rPr>
        <w:t>art. 81</w:t>
      </w:r>
      <w:r>
        <w:rPr>
          <w:rFonts w:ascii="Times New Roman"/>
          <w:b w:val="false"/>
          <w:i w:val="false"/>
          <w:color w:val="000000"/>
          <w:sz w:val="24"/>
          <w:lang w:val="pl-PL"/>
        </w:rPr>
        <w:t xml:space="preserve">, </w:t>
      </w:r>
      <w:r>
        <w:rPr>
          <w:rFonts w:ascii="Times New Roman"/>
          <w:b w:val="false"/>
          <w:i w:val="false"/>
          <w:color w:val="1b1b1b"/>
          <w:sz w:val="24"/>
          <w:lang w:val="pl-PL"/>
        </w:rPr>
        <w:t>art. 81a</w:t>
      </w:r>
      <w:r>
        <w:rPr>
          <w:rFonts w:ascii="Times New Roman"/>
          <w:b w:val="false"/>
          <w:i w:val="false"/>
          <w:color w:val="000000"/>
          <w:sz w:val="24"/>
          <w:lang w:val="pl-PL"/>
        </w:rPr>
        <w:t xml:space="preserve">, </w:t>
      </w:r>
      <w:r>
        <w:rPr>
          <w:rFonts w:ascii="Times New Roman"/>
          <w:b w:val="false"/>
          <w:i w:val="false"/>
          <w:color w:val="1b1b1b"/>
          <w:sz w:val="24"/>
          <w:lang w:val="pl-PL"/>
        </w:rPr>
        <w:t>art. 107 § 1 pkt 3</w:t>
      </w:r>
      <w:r>
        <w:rPr>
          <w:rFonts w:ascii="Times New Roman"/>
          <w:b w:val="false"/>
          <w:i w:val="false"/>
          <w:color w:val="000000"/>
          <w:sz w:val="24"/>
          <w:lang w:val="pl-PL"/>
        </w:rPr>
        <w:t xml:space="preserve">, </w:t>
      </w:r>
      <w:r>
        <w:rPr>
          <w:rFonts w:ascii="Times New Roman"/>
          <w:b w:val="false"/>
          <w:i w:val="false"/>
          <w:color w:val="1b1b1b"/>
          <w:sz w:val="24"/>
          <w:lang w:val="pl-PL"/>
        </w:rPr>
        <w:t>art. 145 § 1 pkt 4</w:t>
      </w:r>
      <w:r>
        <w:rPr>
          <w:rFonts w:ascii="Times New Roman"/>
          <w:b w:val="false"/>
          <w:i w:val="false"/>
          <w:color w:val="000000"/>
          <w:sz w:val="24"/>
          <w:lang w:val="pl-PL"/>
        </w:rPr>
        <w:t xml:space="preserve"> i </w:t>
      </w:r>
      <w:r>
        <w:rPr>
          <w:rFonts w:ascii="Times New Roman"/>
          <w:b w:val="false"/>
          <w:i w:val="false"/>
          <w:color w:val="1b1b1b"/>
          <w:sz w:val="24"/>
          <w:lang w:val="pl-PL"/>
        </w:rPr>
        <w:t>art. 156 § 1 pkt 4</w:t>
      </w:r>
      <w:r>
        <w:rPr>
          <w:rFonts w:ascii="Times New Roman"/>
          <w:b w:val="false"/>
          <w:i w:val="false"/>
          <w:color w:val="000000"/>
          <w:sz w:val="24"/>
          <w:lang w:val="pl-PL"/>
        </w:rPr>
        <w:t xml:space="preserve"> oraz rozdziału 8 </w:t>
      </w:r>
      <w:r>
        <w:rPr>
          <w:rFonts w:ascii="Times New Roman"/>
          <w:b w:val="false"/>
          <w:i w:val="false"/>
          <w:color w:val="1b1b1b"/>
          <w:sz w:val="24"/>
          <w:lang w:val="pl-PL"/>
        </w:rPr>
        <w:t>działu I</w:t>
      </w:r>
      <w:r>
        <w:rPr>
          <w:rFonts w:ascii="Times New Roman"/>
          <w:b w:val="false"/>
          <w:i w:val="false"/>
          <w:color w:val="000000"/>
          <w:sz w:val="24"/>
          <w:lang w:val="pl-PL"/>
        </w:rPr>
        <w:t xml:space="preserve"> ustawy z dnia 14 czerwca 1960 r. - Kodeks postępowania administracyjnego, a pozostałe przepisy tej ustawy stosuje się odpowiednio.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Stronę zawiadamia się o czynnościach w sprawie przez publiczne opublikowanie informacji na stronie podmiotowej Biuletynu Informacji Publicznej ministra właściwego do spraw informatyzacji.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Przed wydaniem polecenia zabezpieczającego minister właściwy do spraw informatyzacji przeprowadza we współpracy z Zespołem analizę obejmującą: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istotność cyberzagrożenia związanego z incydentem krytycznym;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szacowanie ryzyka związanego z zaistniałym incydentem krytycznym;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przewidywane lub zaistniałe skutki incydentu krytycznego;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skuteczność obowiązku określonego zachowania zmniejszającego skutki incydentu krytycznego lub zapobiegającego jego rozprzestrzenianiu się;</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ocenę stopnia dotkliwości wprowadzanych obowiązków dla podmiotów objętych poleceniem zabezpieczającym oraz proporcjonalności tych obowiązków do celu ich wprowadzania.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analizy, o której mowa w ust. 5, nie stosuje się przepisu </w:t>
      </w:r>
      <w:r>
        <w:rPr>
          <w:rFonts w:ascii="Times New Roman"/>
          <w:b w:val="false"/>
          <w:i w:val="false"/>
          <w:color w:val="1b1b1b"/>
          <w:sz w:val="24"/>
          <w:lang w:val="pl-PL"/>
        </w:rPr>
        <w:t>art. 106</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Pełnomocnik, dyrektor Rządowego Centrum Bezpieczeństwa, Szef Agencji Bezpieczeństwa Wewnętrznego oraz minister właściwy do spraw informatyzacji, może wzywać podmioty, o których mowa w ust. 2, lub organy administracji publicznej do udzielenia informacji niezbędnych do przeprowadzenia analizy. Organy administracji publicznej udzielają informacji, o których mowa w zdaniu pierwszym, niezwłocznie, niepóźniej niż w ciągu 72 godzin od otrzymania wezwania.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Przedstawiciele podmiotów, o których mowa w ust. 2, organizacji społecznych zrzeszających podmioty, o których mowa w ust. 2, lub organów administracji publicznej mogą być zapraszani przez Pełnomocnika do udziału w pracach Zespołu lub w jego posiedzeniach w związku z przygotowywaniem analizy, o której mowa w ust. 5.</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wskazanie rodzaju lub rodzajów podmiotów, których dotyczy;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obowiązek określonego zachowania zmniejszającego skutki incydentu krytycznego lub zapobiegającego jego rozprzestrzenianiu się;</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termin jego wdrożenia.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Obowiązkiem określonego zachowania, o którym mowa w ust. 9 pkt 2,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nakaz przeprowadzenia szacowania ryzyka związanego ze stosowaniem określonego produktu ICT, usługi ICT lub procesu ICT i wprowadzenie środków ochrony proporcjonalnych do zidentyfikowanych ryzyk;</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nakaz przeglądu planów ciągłości działania, planów awaryjnych i planów odtworzenia działalności pod kątem ryzyka wystąpienia incydentu krytycznego związanego z daną podatnością;</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nakaz zastosowania określonej poprawki bezpieczeństwa w produkcie ICT lub usłudze ICT posiadającym daną podatność;</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nakaz szczególnej konfiguracji produktu ICT lub usługi ICT, zabezpieczającej przed wykorzystaniem określonej podatności;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nakaz wzmożonego monitorowania zachowania systemu informacyjnego;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zakaz korzystania z określonego produktu ICT lub usługi ICT, które posiada podatność, która przyczyniła się do zaistnienia incydentu krytycznego;</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nakaz wprowadzenia ograniczenia ruchu sieciowego przychodzącego do infrastruktury podmiotu kluczowego lub podmiotu ważnego, który skutkując zakłóceniem usług świadczonych przez ten podmiot został sklasyfikowany przez CSIRT MON, CSIRT NASK lub CSIRT GOV jako przyczyna trwającego incydentu krytycznego;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nakaz wstrzymania dystrybucji lub zakaz instalacji określonej wersji oprogramowania;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nakaz zabezpieczenia określonych informacji, w tym dzienników systemowych;</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nakaz wytworzenia obrazów stanu określonych urządzeń zainfekowanych złośliwym oprogramowaniem.</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Wskazanie obowiązku określonego zachowania, o którym mowa w ust. 9 pkt 2, następuje z uwzględnieniem środków adekwatnych, w szczególności w świetle analizy, o której mowa w ust. 5.</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wydaje się na czas koordynacji obsługi incydentu krytycznego lub na czas oznaczony, niedłużej niż na dwa lata.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wygasa: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dniem wskazanym w ogłoszeniu o zakończeniu koordynacji obsługi incydentu w dzienniku urzędowym ministra właściwego do spraw informatyzacji,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upływie czasu, na który zostało wydane.</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podlega natychmiastowej wykonalności.</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ogłasza komunikat o wydaniu polecenia zabezpieczającego, w swoim dzienniku urzędowym oraz na stronie internetowej urzędu obsługującego ministra. Załącznikiem do komunikatu jest wydane polecenie zabezpieczające.</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Polecenie zabezpieczające uznaje się za doręczone z chwilą ogłoszenia komunikatu o wydaniu polecenia zabezpieczającego w dzienniku urzędowym ministra właściwego do spraw informatyzacji.</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Od polecenia zabezpieczającego nie przysługuje wniosek o ponowne rozpatrzenie sprawy.</w:t>
      </w:r>
    </w:p>
    <w:p>
      <w:pPr>
        <w:spacing w:before="80" w:after="0"/>
        <w:ind w:left="0"/>
        <w:jc w:val="left"/>
        <w:textAlignment w:val="auto"/>
      </w:pPr>
      <w:r>
        <w:rPr>
          <w:rFonts w:ascii="Times New Roman"/>
          <w:b/>
          <w:i w:val="false"/>
          <w:color w:val="000000"/>
          <w:sz w:val="24"/>
          <w:lang w:val="pl-PL"/>
        </w:rPr>
        <w:t xml:space="preserve"> Art. 67h.</w:t>
      </w:r>
      <w:r>
        <w:rPr>
          <w:rFonts w:ascii="Times New Roman"/>
          <w:b/>
          <w:i w:val="false"/>
          <w:color w:val="000000"/>
          <w:sz w:val="24"/>
          <w:lang w:val="pl-PL"/>
        </w:rPr>
        <w:t xml:space="preserve"> [Obowiązek przekazywania informacji o wykonywaniu polecenia zabezpieczającego]</w:t>
      </w:r>
    </w:p>
    <w:p>
      <w:pPr>
        <w:spacing w:after="0"/>
        <w:ind w:left="0"/>
        <w:jc w:val="left"/>
        <w:textAlignment w:val="auto"/>
      </w:pPr>
      <w:r>
        <w:rPr>
          <w:rFonts w:ascii="Times New Roman"/>
          <w:b w:val="false"/>
          <w:i w:val="false"/>
          <w:color w:val="000000"/>
          <w:sz w:val="24"/>
          <w:lang w:val="pl-PL"/>
        </w:rPr>
        <w:t>Podmioty, których dotyczy polecenie zabezpieczające, są obowiązane przekazać informacje na wniosek organów właściwych do spraw cyberbezpieczeństwa, o wykonywaniu polecenia zabezpieczającego. Przepisy art. 67c ust. 2-5 stosuje się.</w:t>
      </w:r>
    </w:p>
    <w:p>
      <w:pPr>
        <w:spacing w:before="80" w:after="0"/>
        <w:ind w:left="0"/>
        <w:jc w:val="left"/>
        <w:textAlignment w:val="auto"/>
      </w:pPr>
      <w:r>
        <w:rPr>
          <w:rFonts w:ascii="Times New Roman"/>
          <w:b/>
          <w:i w:val="false"/>
          <w:color w:val="000000"/>
          <w:sz w:val="24"/>
          <w:lang w:val="pl-PL"/>
        </w:rPr>
        <w:t xml:space="preserve"> Art. 67i.</w:t>
      </w:r>
      <w:r>
        <w:rPr>
          <w:rFonts w:ascii="Times New Roman"/>
          <w:b/>
          <w:i w:val="false"/>
          <w:color w:val="000000"/>
          <w:sz w:val="24"/>
          <w:lang w:val="pl-PL"/>
        </w:rPr>
        <w:t xml:space="preserve"> [Skarga na polecenie zabezpieczające]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Skargę na polecenie zabezpieczające wnosi się w terminie 2 miesięcy od dnia, w którym komunikat o wydaniu polecenia zabezpieczającego został ogłoszony w dzienniku urzędowym ministra właściwego do spraw informatyzacji.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administracyjny zarządza połączenie wszystkich oddzielnych spraw toczących się przed nim w celu ich łącznego rozpoznania i rozstrzygnięcia, jeżeli dotyczą tej samej decyzji.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Wniosek o przywrócenie terminu na złożenie skargi jest niedopuszczalny.</w:t>
      </w:r>
    </w:p>
    <w:p>
      <w:pPr>
        <w:spacing w:before="80" w:after="0"/>
        <w:ind w:left="0"/>
        <w:jc w:val="left"/>
        <w:textAlignment w:val="auto"/>
      </w:pPr>
      <w:r>
        <w:rPr>
          <w:rFonts w:ascii="Times New Roman"/>
          <w:b/>
          <w:i w:val="false"/>
          <w:color w:val="000000"/>
          <w:sz w:val="24"/>
          <w:lang w:val="pl-PL"/>
        </w:rPr>
        <w:t xml:space="preserve"> Art. 67j.</w:t>
      </w:r>
      <w:r>
        <w:rPr>
          <w:rFonts w:ascii="Times New Roman"/>
          <w:b/>
          <w:i w:val="false"/>
          <w:color w:val="000000"/>
          <w:sz w:val="24"/>
          <w:lang w:val="pl-PL"/>
        </w:rPr>
        <w:t xml:space="preserve"> [Ograniczenie stosowania przepisów w przypadku NBP]</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Narodowego Banku Polskiego nie stosuje się przepisów art. 67b, art. 67f oraz art. 67g.</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informatyzacji przekazuje niezwłocznie Prezesowi Narodowego Banku Polskiego informacje o decyzjach wydanych na podstawie art. 67b ust. 15 oraz art. 67f ust. 1.</w:t>
      </w:r>
    </w:p>
    <w:p>
      <w:pPr>
        <w:spacing w:before="80" w:after="0"/>
        <w:ind w:left="0"/>
        <w:jc w:val="left"/>
        <w:textAlignment w:val="auto"/>
      </w:pPr>
      <w:r>
        <w:rPr>
          <w:rFonts w:ascii="Times New Roman"/>
          <w:b/>
          <w:i w:val="false"/>
          <w:color w:val="000000"/>
          <w:sz w:val="24"/>
          <w:lang w:val="pl-PL"/>
        </w:rPr>
        <w:t xml:space="preserve"> Art. 67k.</w:t>
      </w:r>
      <w:r>
        <w:rPr>
          <w:rFonts w:ascii="Times New Roman"/>
          <w:b/>
          <w:i w:val="false"/>
          <w:color w:val="000000"/>
          <w:sz w:val="24"/>
          <w:lang w:val="pl-PL"/>
        </w:rPr>
        <w:t xml:space="preserve"> [Stosowanie przepisów do podmiotów finansowych niebędących podmiotami kluczowymi lub podmiotami ważnymi]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podmiotów finansowych niebędących podmiotami kluczowymi lub podmiotami ważnymi stosuje się przepisy art. 67c, art. 67d, art. 67g oraz art. 67h.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Obowiązków, o których mowa w art. 67c, art. 67d, art. 67g oraz art. 67h, nie stosuje się wobec podmiotów finansowych niebędących podmiotami kluczowymi lub podmiotami ważnymi, do których stosuje się przepis art. 16 ust. 1 rozporządzenia 2022/2554.</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Nadzór nad wykonywaniem obowiązków, o których mowa w art. 67c, art. 67d, art. 67g oraz art. 67h, sprawuje organ właściwy do spraw cyberbezpieczeństwa dla sektora bankowości i infrastruktury rynków finansowych.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 nadzoru i kontroli wykonywania obowiązków, o których mowa w art. 67c, art. 67d, art. 67g oraz art. 67h, oraz do kar pieniężnych nakładanych za naruszenia tych obowiązków, stosuje się odpowiednio przepisy rozdziałów 11 i 14.</w:t>
      </w:r>
    </w:p>
    <w:p>
      <w:pPr>
        <w:spacing w:before="80" w:after="0"/>
        <w:ind w:left="0"/>
        <w:jc w:val="left"/>
        <w:textAlignment w:val="auto"/>
      </w:pPr>
      <w:r>
        <w:rPr>
          <w:rFonts w:ascii="Times New Roman"/>
          <w:b/>
          <w:i w:val="false"/>
          <w:color w:val="000000"/>
          <w:sz w:val="24"/>
          <w:lang w:val="pl-PL"/>
        </w:rPr>
        <w:t xml:space="preserve"> Art. 67l.</w:t>
      </w:r>
      <w:r>
        <w:rPr>
          <w:rFonts w:ascii="Times New Roman"/>
          <w:b/>
          <w:i w:val="false"/>
          <w:color w:val="000000"/>
          <w:sz w:val="24"/>
          <w:lang w:val="pl-PL"/>
        </w:rPr>
        <w:t xml:space="preserve"> [Powierzenie Ministrowi Obrony Narodowej realizacji zadań CSIRT]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działając na podstawie rekomendacji Kolegium, w uzgodnieniu z Ministrem Obrony Narodowej, może czasowo powierzyć temu ministrowi realizację wybranych zadań, o których mowa w art. 26.</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Powierzając realizację wybranych zadań, o których mowa w art. 26, określa się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powierzonych zadań;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czas realizacji powierzonych zadań, niedłuższy niż 1 rok, lub sposób ich odwołania;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razie potrzeby - szczególne zasady współpracy z CSIRT MON, CSIRT NASK i CSIRT GOV;</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informowania Kolegium o stanie realizacji powierzonych zadań.</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Realizacja wybranych zadań, o których mowa w art. 26, jest dokonywana przez Ministra Obrony Narodowej z wykorzystaniem jednostek mu podległych lub przez niego nadzorowanych, z uwzględnieniem </w:t>
      </w:r>
      <w:r>
        <w:rPr>
          <w:rFonts w:ascii="Times New Roman"/>
          <w:b w:val="false"/>
          <w:i w:val="false"/>
          <w:color w:val="1b1b1b"/>
          <w:sz w:val="24"/>
          <w:lang w:val="pl-PL"/>
        </w:rPr>
        <w:t>art. 12a</w:t>
      </w:r>
      <w:r>
        <w:rPr>
          <w:rFonts w:ascii="Times New Roman"/>
          <w:b w:val="false"/>
          <w:i w:val="false"/>
          <w:color w:val="000000"/>
          <w:sz w:val="24"/>
          <w:lang w:val="pl-PL"/>
        </w:rPr>
        <w:t xml:space="preserve"> ustawy z dnia 29 sierpnia 2002 r. o stanie wojennym oraz o kompetencjach Naczelnego Dowódcy Sił Zbrojnych i zasadach jego podległości konstytucyjnym organom Rzeczypospolitej Polskiej (Dz. U. z 2025 r. poz. 504 oraz z 2026 r. poz. 252).</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wydaje komunikat o powierzeniu realizacji wybranych zadań, o których mowa w art. 26, i niezwłocznie ogłasza go w Dzienniku Urzędowym Rzeczypospolitej Polskiej "Monitor Polski". Informacja o komunikacie jest publikowana również na stronach internetowych CSIRT MON, CSIRT NASK, CSIRT GOV lub na stronie podmiotowej Biuletynu Informacji Publicznej Pełnomocnika.</w:t>
      </w:r>
    </w:p>
    <w:p>
      <w:pPr>
        <w:spacing w:before="89" w:after="0"/>
        <w:ind w:left="0"/>
        <w:jc w:val="center"/>
        <w:textAlignment w:val="auto"/>
      </w:pPr>
      <w:r>
        <w:rPr>
          <w:rFonts w:ascii="Times New Roman"/>
          <w:b/>
          <w:i w:val="false"/>
          <w:color w:val="000000"/>
          <w:sz w:val="24"/>
          <w:lang w:val="pl-PL"/>
        </w:rPr>
        <w:t>Rozdział 13</w:t>
      </w:r>
    </w:p>
    <w:p>
      <w:pPr>
        <w:spacing w:before="25" w:after="0"/>
        <w:ind w:left="0"/>
        <w:jc w:val="center"/>
        <w:textAlignment w:val="auto"/>
      </w:pPr>
      <w:r>
        <w:rPr>
          <w:rFonts w:ascii="Times New Roman"/>
          <w:b/>
          <w:i w:val="false"/>
          <w:color w:val="000000"/>
          <w:sz w:val="24"/>
          <w:lang w:val="pl-PL"/>
        </w:rPr>
        <w:t>Strategia</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[Przyjęcie Strategii Cyberbezpieczeństwa Rzeczypospolitej Polskiej]</w:t>
      </w:r>
    </w:p>
    <w:p>
      <w:pPr>
        <w:spacing w:after="0"/>
        <w:ind w:left="0"/>
        <w:jc w:val="left"/>
        <w:textAlignment w:val="auto"/>
      </w:pPr>
      <w:r>
        <w:rPr>
          <w:rFonts w:ascii="Times New Roman"/>
          <w:b w:val="false"/>
          <w:i w:val="false"/>
          <w:color w:val="000000"/>
          <w:sz w:val="24"/>
          <w:lang w:val="pl-PL"/>
        </w:rPr>
        <w:t>Rada Ministrów przyjmuje Strategię, w drodze uchwały.</w:t>
      </w:r>
    </w:p>
    <w:p>
      <w:pPr>
        <w:spacing w:before="80" w:after="0"/>
        <w:ind w:left="0"/>
        <w:jc w:val="left"/>
        <w:textAlignment w:val="auto"/>
      </w:pPr>
      <w:r>
        <w:rPr>
          <w:rFonts w:ascii="Times New Roman"/>
          <w:b/>
          <w:i w:val="false"/>
          <w:color w:val="000000"/>
          <w:sz w:val="24"/>
          <w:lang w:val="pl-PL"/>
        </w:rPr>
        <w:t xml:space="preserve"> Art. 69. </w:t>
      </w:r>
      <w:r>
        <w:rPr>
          <w:rFonts w:ascii="Times New Roman"/>
          <w:b/>
          <w:i w:val="false"/>
          <w:color w:val="000000"/>
          <w:sz w:val="24"/>
          <w:vertAlign w:val="superscript"/>
          <w:lang w:val="pl-PL"/>
        </w:rPr>
        <w:t>449</w:t>
      </w:r>
      <w:r>
        <w:rPr>
          <w:rFonts w:ascii="Times New Roman"/>
          <w:b/>
          <w:i w:val="false"/>
          <w:color w:val="000000"/>
          <w:sz w:val="24"/>
          <w:lang w:val="pl-PL"/>
        </w:rPr>
        <w:t xml:space="preserve"> </w:t>
      </w:r>
      <w:r>
        <w:rPr>
          <w:rFonts w:ascii="Times New Roman"/>
          <w:b/>
          <w:i w:val="false"/>
          <w:color w:val="000000"/>
          <w:sz w:val="24"/>
          <w:lang w:val="pl-PL"/>
        </w:rPr>
        <w:t>[Treść Strategii]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Strategia określa: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cele strategiczne i cele szczegółowe oraz środki organizacyjne i regulacyjne, służące ich realizacji;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mechanizm służący określeniu istotnych zasobów i szacowania ryzyka związanego z cyberbezpieczeństwem;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współpracy między sektorem publicznym i prywatnym;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podmioty zaangażowane we wdrażanie i realizację Strategii;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środki służące koordynacji i wymianie informacji pomiędzy organami właściwymi w sprawach cyberbezpieczeństwa a właściwymi organami na podstawie </w:t>
      </w:r>
      <w:r>
        <w:rPr>
          <w:rFonts w:ascii="Times New Roman"/>
          <w:b w:val="false"/>
          <w:i w:val="false"/>
          <w:color w:val="1b1b1b"/>
          <w:sz w:val="24"/>
          <w:lang w:val="pl-PL"/>
        </w:rPr>
        <w:t>dyrektywy</w:t>
      </w:r>
      <w:r>
        <w:rPr>
          <w:rFonts w:ascii="Times New Roman"/>
          <w:b w:val="false"/>
          <w:i w:val="false"/>
          <w:color w:val="000000"/>
          <w:sz w:val="24"/>
          <w:lang w:val="pl-PL"/>
        </w:rPr>
        <w:t xml:space="preserve"> 2022/2557 na temat ryzyka, cyberzagrożeń i incydentów, a także ryzyka, zagrożeń i incydentów poza cyberprzestrzenią oraz wykonywania zadań nadzorczych;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działania w zakresie zwiększenia ogólnego poziomu wiedzy obywateli o cyberbezpieczeństwie;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cele i sposób realizacji interesów cyberbezpieczeństwa krajowego w wymiarze międzynarodowym.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 opracowaniu strategii uwzględnia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rozwiązania dotyczące cyberbezpieczeństwa w łańcuchu dostaw produktów ICT, usług ICT i procesów ICT wykorzystywanych przez podmioty do świadczenia usług;</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rozwiązania dotyczące uwzględniania w zamówieniach publicznych wymogów związanych z cyberbezpieczeństwem w odniesieniu do produktów ICT, usług ICT i procesów ICT oraz specyfikacji tych wymogów na potrzeby takich zamówień, w tym w odniesieniu do certyfikacji cyberbezpieczeństwa, szyfrowania oraz wykorzystywania produktów z zakresu cyberbezpieczeństwa opartych na otwartym oprogramowaniu;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rozwiązania dotyczące zarządzania podatnościami, obejmujące promowanie i ułatwianie skoordynowanego ujawniania podatności na podstawie </w:t>
      </w:r>
      <w:r>
        <w:rPr>
          <w:rFonts w:ascii="Times New Roman"/>
          <w:b w:val="false"/>
          <w:i w:val="false"/>
          <w:color w:val="1b1b1b"/>
          <w:sz w:val="24"/>
          <w:lang w:val="pl-PL"/>
        </w:rPr>
        <w:t>art. 12 ust. 1</w:t>
      </w:r>
      <w:r>
        <w:rPr>
          <w:rFonts w:ascii="Times New Roman"/>
          <w:b w:val="false"/>
          <w:i w:val="false"/>
          <w:color w:val="000000"/>
          <w:sz w:val="24"/>
          <w:lang w:val="pl-PL"/>
        </w:rPr>
        <w:t xml:space="preserve"> dyrektywy 2022/2555;</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utrzymanie ogólnej dostępności, integralności i poufności publicznego rdzenia otwartego Internetu, w tym, w stosownych przypadkach, cyberbezpieczeństwa podmorskich kabli komunikacyjnych;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promowanie rozwoju i integracji odpowiednich zaawansowanych technologii służących wdrożeniu najnowocześniejszych środków zarządzania ryzykiem w cyberbezpieczeństwie;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kształcenie i szkolenia w dziedzinie cyberbezpieczeństwa, umiejętności z zakresu cyberbezpieczeństwa, rozwój i promocję kwalifikacji rynkowych w zakresie cyberbezpieczeństwa w przemyśle, podnoszenie świadomości oraz inicjatywy badawczo-rozwojowe, a także wytyczne dotyczące dobrych praktyk i kontroli w zakresie higieny cyfrowej;</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wspieranie instytucji akademickich i naukowych, w opracowywaniu, usprawnianiu i propagowaniu wprowadzania narzędzi z zakresu cyberbezpieczeństwa oraz bezpiecznej infrastruktury sieciowej;</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zapewnienie odpowiednich procedur oraz narzędzi służących wymianie informacji;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rozwiązania wzmacniające podstawowy poziom cyberodporności i higieny cyfrowej małych i średnich przedsiębiorstw;</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rozwiązania wspierające aktywne działania w cyberprzestrzeni.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Strategia obejmuje sektory, o których mowa w załącznikach nr 1 i 2 do ustawy.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Strategia jest realizowana w oparciu o plan działań uwzględniający w szczególności koszty realizacji i źródła finansowania działań określonych w Strategii, a także podmioty odpowiedzialne i planowany termin realizacji poszczególnych działań. Plan działań stanowi załącznik do Strategii.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Strategia jest przyjmowana na okres pięcioletni z możliwością wprowadzania w niej zmian na podstawie wyników przeglądu i oceny, o których mowa w art. 71.</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[Opracowanie projektu Strategii]</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450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Projekt Strategii opracowuje minister właściwy do spraw informatyzacji we współpracy z Pełnomocnikiem, innymi ministrami, właściwymi kierownikami urzędów centralnych, a także właściwym organem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pracach nad projektem może uczestniczyć przedstawiciel Prezydenta Rzeczypospolitej Polskiej.</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451</w:t>
      </w:r>
      <w:r>
        <w:rPr>
          <w:rFonts w:ascii="Times New Roman"/>
          <w:b w:val="false"/>
          <w:i w:val="false"/>
          <w:color w:val="000000"/>
          <w:sz w:val="24"/>
          <w:lang w:val="pl-PL"/>
        </w:rPr>
        <w:t xml:space="preserve"> </w:t>
      </w:r>
      <w:r>
        <w:rPr>
          <w:rFonts w:ascii="Times New Roman"/>
          <w:b w:val="false"/>
          <w:i w:val="false"/>
          <w:color w:val="000000"/>
          <w:sz w:val="24"/>
          <w:lang w:val="pl-PL"/>
        </w:rPr>
        <w:t>Strategia jest ogłaszana w Dzienniku Urzędowym Rzeczypospolitej Polskiej "Monitor Polski".</w:t>
      </w:r>
    </w:p>
    <w:p>
      <w:pPr>
        <w:spacing w:before="80" w:after="0"/>
        <w:ind w:left="0"/>
        <w:jc w:val="left"/>
        <w:textAlignment w:val="auto"/>
      </w:pPr>
      <w:r>
        <w:rPr>
          <w:rFonts w:ascii="Times New Roman"/>
          <w:b/>
          <w:i w:val="false"/>
          <w:color w:val="000000"/>
          <w:sz w:val="24"/>
          <w:lang w:val="pl-PL"/>
        </w:rPr>
        <w:t xml:space="preserve"> Art. 70a. </w:t>
      </w:r>
      <w:r>
        <w:rPr>
          <w:rFonts w:ascii="Times New Roman"/>
          <w:b/>
          <w:i w:val="false"/>
          <w:color w:val="000000"/>
          <w:sz w:val="24"/>
          <w:vertAlign w:val="superscript"/>
          <w:lang w:val="pl-PL"/>
        </w:rPr>
        <w:t>452</w:t>
      </w:r>
      <w:r>
        <w:rPr>
          <w:rFonts w:ascii="Times New Roman"/>
          <w:b/>
          <w:i w:val="false"/>
          <w:color w:val="000000"/>
          <w:sz w:val="24"/>
          <w:lang w:val="pl-PL"/>
        </w:rPr>
        <w:t xml:space="preserve"> </w:t>
      </w:r>
      <w:r>
        <w:rPr>
          <w:rFonts w:ascii="Times New Roman"/>
          <w:b/>
          <w:i w:val="false"/>
          <w:color w:val="000000"/>
          <w:sz w:val="24"/>
          <w:lang w:val="pl-PL"/>
        </w:rPr>
        <w:t>[Przekazywanie informacji o bieżącym stanie realizacji celów szczegółowych Strategii i działań określonych w planie działań]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o których mowa w art. 69 ust. 1 pkt 4, przekazują na żądanie ministra właściwego do spraw informatyzacji informację o bieżącym stanie realizacji celów szczegółowych Strategii i działań określonych w planie działań.</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CSIRT MON, CSIRT NASK, CSIRT GOV, CSIRT sektorowy i organ właściwy do spraw cyberbezpieczeństwa przekazują ministrowi właściwemu do spraw informatyzacji, w terminie do dnia 30 marca, informacje o realizacji celów Strategii w poprzednim roku i działań określonych w planie działań.</w:t>
      </w:r>
    </w:p>
    <w:p>
      <w:pPr>
        <w:spacing w:before="80" w:after="0"/>
        <w:ind w:left="0"/>
        <w:jc w:val="left"/>
        <w:textAlignment w:val="auto"/>
      </w:pPr>
      <w:r>
        <w:rPr>
          <w:rFonts w:ascii="Times New Roman"/>
          <w:b/>
          <w:i w:val="false"/>
          <w:color w:val="000000"/>
          <w:sz w:val="24"/>
          <w:lang w:val="pl-PL"/>
        </w:rPr>
        <w:t xml:space="preserve"> Art. 71. </w:t>
      </w:r>
      <w:r>
        <w:rPr>
          <w:rFonts w:ascii="Times New Roman"/>
          <w:b/>
          <w:i w:val="false"/>
          <w:color w:val="000000"/>
          <w:sz w:val="24"/>
          <w:vertAlign w:val="superscript"/>
          <w:lang w:val="pl-PL"/>
        </w:rPr>
        <w:t>453</w:t>
      </w:r>
      <w:r>
        <w:rPr>
          <w:rFonts w:ascii="Times New Roman"/>
          <w:b/>
          <w:i w:val="false"/>
          <w:color w:val="000000"/>
          <w:sz w:val="24"/>
          <w:lang w:val="pl-PL"/>
        </w:rPr>
        <w:t xml:space="preserve"> </w:t>
      </w:r>
      <w:r>
        <w:rPr>
          <w:rFonts w:ascii="Times New Roman"/>
          <w:b/>
          <w:i w:val="false"/>
          <w:color w:val="000000"/>
          <w:sz w:val="24"/>
          <w:lang w:val="pl-PL"/>
        </w:rPr>
        <w:t>[Przegląd Strategii]</w:t>
      </w:r>
    </w:p>
    <w:p>
      <w:pPr>
        <w:spacing w:after="0"/>
        <w:ind w:left="0"/>
        <w:jc w:val="left"/>
        <w:textAlignment w:val="auto"/>
      </w:pPr>
      <w:r>
        <w:rPr>
          <w:rFonts w:ascii="Times New Roman"/>
          <w:b w:val="false"/>
          <w:i w:val="false"/>
          <w:color w:val="000000"/>
          <w:sz w:val="24"/>
          <w:lang w:val="pl-PL"/>
        </w:rPr>
        <w:t>Minister właściwy do spraw informatyzacji we współpracy z Pełnomocnikiem, innymi ministrami i właściwymi kierownikami urzędów centralnych dokonuje przeglądu Strategii i oceny jej skuteczności, nierzadziej niż co 2,5 roku.</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[Przekazanie Strategii Komisji Europejskiej]</w:t>
      </w:r>
    </w:p>
    <w:p>
      <w:pPr>
        <w:spacing w:after="0"/>
        <w:ind w:left="0"/>
        <w:jc w:val="left"/>
        <w:textAlignment w:val="auto"/>
      </w:pPr>
      <w:r>
        <w:rPr>
          <w:rFonts w:ascii="Times New Roman"/>
          <w:b w:val="false"/>
          <w:i w:val="false"/>
          <w:color w:val="000000"/>
          <w:sz w:val="24"/>
          <w:lang w:val="pl-PL"/>
        </w:rPr>
        <w:t>Minister właściwy do spraw informatyzacji przekazuje Komisji Europejskiej Strategię w terminie 3 miesięcy od dnia jej przyjęcia przez Radę Ministrów.</w:t>
      </w:r>
    </w:p>
    <w:p>
      <w:pPr>
        <w:spacing w:before="89" w:after="0"/>
        <w:ind w:left="0"/>
        <w:jc w:val="center"/>
        <w:textAlignment w:val="auto"/>
      </w:pPr>
      <w:r>
        <w:rPr>
          <w:rFonts w:ascii="Times New Roman"/>
          <w:b/>
          <w:i w:val="false"/>
          <w:color w:val="000000"/>
          <w:sz w:val="24"/>
          <w:lang w:val="pl-PL"/>
        </w:rPr>
        <w:t xml:space="preserve">Rozdział 13a </w:t>
      </w:r>
      <w:r>
        <w:rPr>
          <w:rFonts w:ascii="Times New Roman"/>
          <w:b/>
          <w:i w:val="false"/>
          <w:color w:val="000000"/>
          <w:sz w:val="24"/>
          <w:vertAlign w:val="superscript"/>
          <w:lang w:val="pl-PL"/>
        </w:rPr>
        <w:t>454</w:t>
      </w:r>
    </w:p>
    <w:p>
      <w:pPr>
        <w:spacing w:before="25" w:after="0"/>
        <w:ind w:left="0"/>
        <w:jc w:val="center"/>
        <w:textAlignment w:val="auto"/>
      </w:pPr>
      <w:r>
        <w:rPr>
          <w:rFonts w:ascii="Times New Roman"/>
          <w:b/>
          <w:i w:val="false"/>
          <w:color w:val="000000"/>
          <w:sz w:val="24"/>
          <w:lang w:val="pl-PL"/>
        </w:rPr>
        <w:t>Krajowy plan reagowania na incydenty i sytuacje kryzysowe w cyberbezpieczeństwie na dużą skalę</w:t>
      </w:r>
    </w:p>
    <w:p>
      <w:pPr>
        <w:spacing w:before="80" w:after="0"/>
        <w:ind w:left="0"/>
        <w:jc w:val="left"/>
        <w:textAlignment w:val="auto"/>
      </w:pPr>
      <w:r>
        <w:rPr>
          <w:rFonts w:ascii="Times New Roman"/>
          <w:b/>
          <w:i w:val="false"/>
          <w:color w:val="000000"/>
          <w:sz w:val="24"/>
          <w:lang w:val="pl-PL"/>
        </w:rPr>
        <w:t xml:space="preserve"> Art. 72a.</w:t>
      </w:r>
      <w:r>
        <w:rPr>
          <w:rFonts w:ascii="Times New Roman"/>
          <w:b/>
          <w:i w:val="false"/>
          <w:color w:val="000000"/>
          <w:sz w:val="24"/>
          <w:lang w:val="pl-PL"/>
        </w:rPr>
        <w:t xml:space="preserve"> [Przyjęcie Krajowego planu reagowania na incydenty i sytuacje kryzysowe w cyberbezpieczeństwie na dużą skalę]</w:t>
      </w:r>
    </w:p>
    <w:p>
      <w:pPr>
        <w:spacing w:after="0"/>
        <w:ind w:left="0"/>
        <w:jc w:val="left"/>
        <w:textAlignment w:val="auto"/>
      </w:pPr>
      <w:r>
        <w:rPr>
          <w:rFonts w:ascii="Times New Roman"/>
          <w:b w:val="false"/>
          <w:i w:val="false"/>
          <w:color w:val="000000"/>
          <w:sz w:val="24"/>
          <w:lang w:val="pl-PL"/>
        </w:rPr>
        <w:t>Rada Ministrów przyjmuje, w drodze uchwały, Krajowy plan.</w:t>
      </w:r>
    </w:p>
    <w:p>
      <w:pPr>
        <w:spacing w:before="80" w:after="0"/>
        <w:ind w:left="0"/>
        <w:jc w:val="left"/>
        <w:textAlignment w:val="auto"/>
      </w:pPr>
      <w:r>
        <w:rPr>
          <w:rFonts w:ascii="Times New Roman"/>
          <w:b/>
          <w:i w:val="false"/>
          <w:color w:val="000000"/>
          <w:sz w:val="24"/>
          <w:lang w:val="pl-PL"/>
        </w:rPr>
        <w:t xml:space="preserve"> Art. 72b.</w:t>
      </w:r>
      <w:r>
        <w:rPr>
          <w:rFonts w:ascii="Times New Roman"/>
          <w:b/>
          <w:i w:val="false"/>
          <w:color w:val="000000"/>
          <w:sz w:val="24"/>
          <w:lang w:val="pl-PL"/>
        </w:rPr>
        <w:t xml:space="preserve"> [Treść Krajowego planu]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Krajowy plan określa cele i tryb zarządzania incydentami i zarządzania kryzysowego w cyberbezpieczeństwie na dużą skalę.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Krajowy plan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cele działań w zakresie zarządzania kryzysowego w cyberbezpieczeństwie na dużą skalę;</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zadania organów zaangażowanych w zarządzanie kryzysowe w cyberbezpieczeństwie;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procedury zarządzania kryzysowego w cyberprzestrzeni oraz kanały wymiany informacji;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krajowe środki służące zapewnieniu gotowości na wypadek wystąpienia incydentów w cyberbezpieczeństwie na dużą skalę, w tym ćwiczenia i szkolenia;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zasady współpracy między sektorem publicznym i prywatnym w obszarze zarządzania kryzysowego;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kryteria oceny infrastruktury informatycznej pod kątem jej znaczenia dla zarządzania kryzysowego;</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krajowe procedury i ustalenia między odpowiednimi organami i instytucjami krajowymi mające na celu zapewnienie efektywnego uczestnictwa danego państwa członkowskiego Unii Europejskiej w skoordynowanym zarządzaniu incydentami i zarządzaniu kryzysowym w cyberbezpieczeństwie na dużą skalę na poziomie Unii Europejskiej oraz efektywnego wsparcia ze strony danego państwa członkowskiego Unii Europejskiej dla tego rodzaju skoordynowanego zarządzania;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postanowienia dotyczące zarządzania kryzysami i reagowania na nie w odniesieniu do transgranicznych przepływów energii elektrycznej, w rozumieniu </w:t>
      </w:r>
      <w:r>
        <w:rPr>
          <w:rFonts w:ascii="Times New Roman"/>
          <w:b w:val="false"/>
          <w:i w:val="false"/>
          <w:color w:val="1b1b1b"/>
          <w:sz w:val="24"/>
          <w:lang w:val="pl-PL"/>
        </w:rPr>
        <w:t>art. 41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rozporządzenia 2024/1366;</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uporządkowaną listę działań na rzecz ograniczenia ryzyka wystąpienia incydentu krytycznego w zakresie organizacyjnym i technicznym, z uwzględnieniem: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hierarchii działań,</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ram czasowych ich realizacji,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podmiotów wiodących oraz współpracujących przy ich wykonywaniu,</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sposobów finansowania oraz wysokości nakładów finansowych,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oceny osiągniętych efektów oraz wniosków z wdrożonych działań.</w:t>
      </w:r>
    </w:p>
    <w:p>
      <w:pPr>
        <w:spacing w:before="80" w:after="0"/>
        <w:ind w:left="0"/>
        <w:jc w:val="left"/>
        <w:textAlignment w:val="auto"/>
      </w:pPr>
      <w:r>
        <w:rPr>
          <w:rFonts w:ascii="Times New Roman"/>
          <w:b/>
          <w:i w:val="false"/>
          <w:color w:val="000000"/>
          <w:sz w:val="24"/>
          <w:lang w:val="pl-PL"/>
        </w:rPr>
        <w:t xml:space="preserve"> Art. 72c.</w:t>
      </w:r>
      <w:r>
        <w:rPr>
          <w:rFonts w:ascii="Times New Roman"/>
          <w:b/>
          <w:i w:val="false"/>
          <w:color w:val="000000"/>
          <w:sz w:val="24"/>
          <w:lang w:val="pl-PL"/>
        </w:rPr>
        <w:t xml:space="preserve"> [Przekazywanie informacji o bieżącym stanie realizacji zadań wynikających z Krajowego planu]</w:t>
      </w:r>
    </w:p>
    <w:p>
      <w:pPr>
        <w:spacing w:after="0"/>
        <w:ind w:left="0"/>
        <w:jc w:val="left"/>
        <w:textAlignment w:val="auto"/>
      </w:pPr>
      <w:r>
        <w:rPr>
          <w:rFonts w:ascii="Times New Roman"/>
          <w:b w:val="false"/>
          <w:i w:val="false"/>
          <w:color w:val="000000"/>
          <w:sz w:val="24"/>
          <w:lang w:val="pl-PL"/>
        </w:rPr>
        <w:t>Podmioty realizujące zadania z zakresu zarządzania kryzysowego na żądanie ministra właściwego do spraw informatyzacji przekazują informację o bieżącym stanie realizacji zadań wynikających z Krajowego planu.</w:t>
      </w:r>
    </w:p>
    <w:p>
      <w:pPr>
        <w:spacing w:before="80" w:after="0"/>
        <w:ind w:left="0"/>
        <w:jc w:val="left"/>
        <w:textAlignment w:val="auto"/>
      </w:pPr>
      <w:r>
        <w:rPr>
          <w:rFonts w:ascii="Times New Roman"/>
          <w:b/>
          <w:i w:val="false"/>
          <w:color w:val="000000"/>
          <w:sz w:val="24"/>
          <w:lang w:val="pl-PL"/>
        </w:rPr>
        <w:t xml:space="preserve"> Art. 72d.</w:t>
      </w:r>
      <w:r>
        <w:rPr>
          <w:rFonts w:ascii="Times New Roman"/>
          <w:b/>
          <w:i w:val="false"/>
          <w:color w:val="000000"/>
          <w:sz w:val="24"/>
          <w:lang w:val="pl-PL"/>
        </w:rPr>
        <w:t xml:space="preserve"> [Opracowanie projektu Krajowego planu]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Projekt Krajowego planu opracowuje minister właściwy do spraw informatyzacji we współpracy z Pełnomocnikiem, Rządowym Centrum Bezpieczeństwa, oraz z innymi ministrami, właściwymi kierownikami urzędów centralnych oraz z właściwym organem określonym w art. 52a ust. 1.</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pracach nad projektem uczestniczy przedstawiciel Prezydenta Rzeczypospolitej Polskiej.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Krajowy plan jest ogłaszany w Dzienniku Urzędowym Rzeczypospolitej Polskiej "Monitor Polski".</w:t>
      </w:r>
    </w:p>
    <w:p>
      <w:pPr>
        <w:spacing w:before="80" w:after="0"/>
        <w:ind w:left="0"/>
        <w:jc w:val="left"/>
        <w:textAlignment w:val="auto"/>
      </w:pPr>
      <w:r>
        <w:rPr>
          <w:rFonts w:ascii="Times New Roman"/>
          <w:b/>
          <w:i w:val="false"/>
          <w:color w:val="000000"/>
          <w:sz w:val="24"/>
          <w:lang w:val="pl-PL"/>
        </w:rPr>
        <w:t xml:space="preserve"> Art. 72e.</w:t>
      </w:r>
      <w:r>
        <w:rPr>
          <w:rFonts w:ascii="Times New Roman"/>
          <w:b/>
          <w:i w:val="false"/>
          <w:color w:val="000000"/>
          <w:sz w:val="24"/>
          <w:lang w:val="pl-PL"/>
        </w:rPr>
        <w:t xml:space="preserve"> [Aktualizacja Krajowego planu]</w:t>
      </w:r>
    </w:p>
    <w:p>
      <w:pPr>
        <w:spacing w:after="0"/>
        <w:ind w:left="0"/>
        <w:jc w:val="left"/>
        <w:textAlignment w:val="auto"/>
      </w:pPr>
      <w:r>
        <w:rPr>
          <w:rFonts w:ascii="Times New Roman"/>
          <w:b w:val="false"/>
          <w:i w:val="false"/>
          <w:color w:val="000000"/>
          <w:sz w:val="24"/>
          <w:lang w:val="pl-PL"/>
        </w:rPr>
        <w:t>Krajowy plan podlega aktualizacji nierzadziej niż raz na dwa lata.</w:t>
      </w:r>
    </w:p>
    <w:p>
      <w:pPr>
        <w:spacing w:before="80" w:after="0"/>
        <w:ind w:left="0"/>
        <w:jc w:val="left"/>
        <w:textAlignment w:val="auto"/>
      </w:pPr>
      <w:r>
        <w:rPr>
          <w:rFonts w:ascii="Times New Roman"/>
          <w:b/>
          <w:i w:val="false"/>
          <w:color w:val="000000"/>
          <w:sz w:val="24"/>
          <w:lang w:val="pl-PL"/>
        </w:rPr>
        <w:t xml:space="preserve"> Art. 72f.</w:t>
      </w:r>
      <w:r>
        <w:rPr>
          <w:rFonts w:ascii="Times New Roman"/>
          <w:b/>
          <w:i w:val="false"/>
          <w:color w:val="000000"/>
          <w:sz w:val="24"/>
          <w:lang w:val="pl-PL"/>
        </w:rPr>
        <w:t xml:space="preserve"> [Przekazywanie Komisji Europejskiej i europejskiej sieci organizacji łącznikowych do spraw kryzysów cyberbezpieczeństwa informacji związanych z Krajowym planem]</w:t>
      </w:r>
    </w:p>
    <w:p>
      <w:pPr>
        <w:spacing w:after="0"/>
        <w:ind w:left="0"/>
        <w:jc w:val="left"/>
        <w:textAlignment w:val="auto"/>
      </w:pPr>
      <w:r>
        <w:rPr>
          <w:rFonts w:ascii="Times New Roman"/>
          <w:b w:val="false"/>
          <w:i w:val="false"/>
          <w:color w:val="000000"/>
          <w:sz w:val="24"/>
          <w:lang w:val="pl-PL"/>
        </w:rPr>
        <w:t>Minister właściwy do spraw informatyzacji przekazuje Komisji Europejskiej i europejskiej sieci organizacji łącznikowych do spraw kryzysów cyberbezpieczeństwa ważne informacje związane z Krajowym planem, w szczególności procedury, o których mowa w art. 72b ust. 2 pkt 3, w terminie 3 miesięcy od dnia jego przyjęcia przez Radę Ministrów.</w:t>
      </w:r>
    </w:p>
    <w:p>
      <w:pPr>
        <w:spacing w:before="89" w:after="0"/>
        <w:ind w:left="0"/>
        <w:jc w:val="center"/>
        <w:textAlignment w:val="auto"/>
      </w:pPr>
      <w:r>
        <w:rPr>
          <w:rFonts w:ascii="Times New Roman"/>
          <w:b/>
          <w:i w:val="false"/>
          <w:color w:val="000000"/>
          <w:sz w:val="24"/>
          <w:lang w:val="pl-PL"/>
        </w:rPr>
        <w:t>Rozdział 14</w:t>
      </w:r>
    </w:p>
    <w:p>
      <w:pPr>
        <w:spacing w:before="25" w:after="0"/>
        <w:ind w:left="0"/>
        <w:jc w:val="center"/>
        <w:textAlignment w:val="auto"/>
      </w:pPr>
      <w:r>
        <w:rPr>
          <w:rFonts w:ascii="Times New Roman"/>
          <w:b/>
          <w:i w:val="false"/>
          <w:color w:val="000000"/>
          <w:sz w:val="24"/>
          <w:lang w:val="pl-PL"/>
        </w:rPr>
        <w:t>Przepisy o karach pieniężnych</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[Działania lub zaniechania podlegające karze pieniężnej; wysokość kary pieniężnej]</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455</w:t>
      </w:r>
      <w:r>
        <w:rPr>
          <w:rFonts w:ascii="Times New Roman"/>
          <w:b w:val="false"/>
          <w:i w:val="false"/>
          <w:color w:val="000000"/>
          <w:sz w:val="24"/>
          <w:lang w:val="pl-PL"/>
        </w:rPr>
        <w:t xml:space="preserve"> </w:t>
      </w:r>
      <w:r>
        <w:rPr>
          <w:rFonts w:ascii="Times New Roman"/>
          <w:b w:val="false"/>
          <w:i w:val="false"/>
          <w:color w:val="000000"/>
          <w:sz w:val="24"/>
          <w:lang w:val="pl-PL"/>
        </w:rPr>
        <w:t>Karze pieniężnej podlega podmiot kluczowy lub podmiot ważny, który: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uzupełnił w terminie brakujących danych w wykazie albo nie dokonał korekty danych pomimo wezwania, o którym mowa w art. 7b ust. 2 albo art. 7j ust. 3, albo art. 7k ust. 2, art. 7l ust. 3 pkt 2 albo art. 7m ust. 3;</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przeprowadza systematycznego szacowania ryzyka wystąpienia incydentu lub nie zarządza tym ryzykiem, o którym mowa w art. 8 ust. 1 pkt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wdrożył systemu zarządzania bezpieczeństwem informacji w systemie informacyjnym wykorzystywanym w procesach wpływających na świadczenie usługi albo system ten nie zapewnia funkcjonalności lub nie spełnia wymogów, o których mowa w art. 8 ust. 1 albo 3;</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obowiązków, o których mowa w art. 10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4;</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4a;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4b;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4c;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11 ust. 1 pkt 5;</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nie przeprowadza audytu w terminie, o którym mowa w art. 15 ust. 1 lub art. 16 pkt 2;</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nie usuwa podatności, o których mowa w art. 32 ust. 2;</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nie korzysta z systemu teleinformatycznego, o którym mowa w art. 46 ust. 1, w celu realizacji obowiązków, o których mowa w art. 11, gdy korzystanie z tego systemu przy realizacji tych obowiązków jest wymagane;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uniemożliwia lub utrudnia wykonywanie kontroli, o których mowa w art. 53 ust. 2 pkt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nie realizuje obowiązku, o którym mowa w art. 53c;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uniemożliwia lub utrudnia urzędnikowi monitorującemu, o którym mowa w art. 53 ust. 5 pkt 6, wykonywanie powierzonych mu zadań lub realizację uprawnień, o których mowa w art. 53d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nie wykonał w wyznaczonym terminie zaleceń pokontrolnych, o których mowa w art. 59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obowiązków, o których mowa w art. 67c ust. 1, 2, 4 i 5;</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nie przekazuje informacji, o których mowa w art. 67d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nie wdrożył w terminie określonym w poleceniu zabezpieczającym, o którym mowa w art. 67g ust. 9 pkt 3, określonego zachowania, o którym mowa w art. 67g ust. 10;</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odstąpił od wykonywania zawartego w poleceniu zabezpieczającym, o którym mowa w art. 67g ust. 9, określonego zachowania, o którym mowa w art. 67g ust. 10, przed wygaśnięciem polecenia zabezpieczającego;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nie przekazuje informacji, o których mowa w art. 67h.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456</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jeżeli przemawia za tym waga i znaczenie naruszonych przepisów, może nałożyć karę pieniężną na podmiot, który: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terminie, o którym mowa w art. 7c ust. 1, nie złożył wniosku o wpis do wykazu;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obowiązków, o których mowa w art. 9.</w:t>
      </w:r>
    </w:p>
    <w:p>
      <w:pPr>
        <w:spacing w:before="26"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457</w:t>
      </w:r>
      <w:r>
        <w:rPr>
          <w:rFonts w:ascii="Times New Roman"/>
          <w:b w:val="false"/>
          <w:i w:val="false"/>
          <w:color w:val="000000"/>
          <w:sz w:val="24"/>
          <w:lang w:val="pl-PL"/>
        </w:rPr>
        <w:t xml:space="preserve"> </w:t>
      </w:r>
      <w:r>
        <w:rPr>
          <w:rFonts w:ascii="Times New Roman"/>
          <w:b w:val="false"/>
          <w:i w:val="false"/>
          <w:color w:val="000000"/>
          <w:sz w:val="24"/>
          <w:lang w:val="pl-PL"/>
        </w:rPr>
        <w:t>Karze pieniężnej podlega także podmiot kluczowy lub podmiot ważny, którego działanie lub zaniechanie, o którym mowa w ust. 1 pkt 2, 4-12, 14-16, 18, 19 i 22 oraz ust. 1a pkt 2, miało charakter jednorazowy.</w:t>
      </w:r>
    </w:p>
    <w:p>
      <w:pPr>
        <w:spacing w:before="26" w:after="0"/>
        <w:ind w:left="0"/>
        <w:jc w:val="left"/>
        <w:textAlignment w:val="auto"/>
      </w:pPr>
      <w:r>
        <w:rPr>
          <w:rFonts w:ascii="Times New Roman"/>
          <w:b w:val="false"/>
          <w:i w:val="false"/>
          <w:color w:val="000000"/>
          <w:sz w:val="24"/>
          <w:lang w:val="pl-PL"/>
        </w:rPr>
        <w:t xml:space="preserve">1c. </w:t>
      </w:r>
      <w:r>
        <w:rPr>
          <w:rFonts w:ascii="Times New Roman"/>
          <w:b w:val="false"/>
          <w:i w:val="false"/>
          <w:color w:val="000000"/>
          <w:sz w:val="24"/>
          <w:vertAlign w:val="superscript"/>
          <w:lang w:val="pl-PL"/>
        </w:rPr>
        <w:t>458</w:t>
      </w:r>
      <w:r>
        <w:rPr>
          <w:rFonts w:ascii="Times New Roman"/>
          <w:b w:val="false"/>
          <w:i w:val="false"/>
          <w:color w:val="000000"/>
          <w:sz w:val="24"/>
          <w:lang w:val="pl-PL"/>
        </w:rPr>
        <w:t xml:space="preserve"> </w:t>
      </w:r>
      <w:r>
        <w:rPr>
          <w:rFonts w:ascii="Times New Roman"/>
          <w:b w:val="false"/>
          <w:i w:val="false"/>
          <w:color w:val="000000"/>
          <w:sz w:val="24"/>
          <w:lang w:val="pl-PL"/>
        </w:rPr>
        <w:t>Podmiot ważny będący podmiotem publicznym podlega karze pieniężnej, jeżeli nie wykonuje obowiązku, o którym mowa w art. 8 ust. 3.</w:t>
      </w:r>
    </w:p>
    <w:p>
      <w:pPr>
        <w:spacing w:before="26" w:after="0"/>
        <w:ind w:left="0"/>
        <w:jc w:val="left"/>
        <w:textAlignment w:val="auto"/>
      </w:pPr>
      <w:r>
        <w:rPr>
          <w:rFonts w:ascii="Times New Roman"/>
          <w:b w:val="false"/>
          <w:i w:val="false"/>
          <w:color w:val="000000"/>
          <w:sz w:val="24"/>
          <w:lang w:val="pl-PL"/>
        </w:rPr>
        <w:t xml:space="preserve">1d. </w:t>
      </w:r>
      <w:r>
        <w:rPr>
          <w:rFonts w:ascii="Times New Roman"/>
          <w:b w:val="false"/>
          <w:i w:val="false"/>
          <w:color w:val="000000"/>
          <w:sz w:val="24"/>
          <w:vertAlign w:val="superscript"/>
          <w:lang w:val="pl-PL"/>
        </w:rPr>
        <w:t>459</w:t>
      </w:r>
      <w:r>
        <w:rPr>
          <w:rFonts w:ascii="Times New Roman"/>
          <w:b w:val="false"/>
          <w:i w:val="false"/>
          <w:color w:val="000000"/>
          <w:sz w:val="24"/>
          <w:lang w:val="pl-PL"/>
        </w:rPr>
        <w:t xml:space="preserve"> </w:t>
      </w:r>
      <w:r>
        <w:rPr>
          <w:rFonts w:ascii="Times New Roman"/>
          <w:b w:val="false"/>
          <w:i w:val="false"/>
          <w:color w:val="000000"/>
          <w:sz w:val="24"/>
          <w:lang w:val="pl-PL"/>
        </w:rPr>
        <w:t>Przepisu ust. 1 pkt 13 nie stosuje się do Ministra Obrony Narodowej, urzędu go obsługującego oraz podmiotów podległych Ministrowi Obrony Narodowej i przez niego nadzorowanych.</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460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461</w:t>
      </w:r>
      <w:r>
        <w:rPr>
          <w:rFonts w:ascii="Times New Roman"/>
          <w:b w:val="false"/>
          <w:i w:val="false"/>
          <w:color w:val="000000"/>
          <w:sz w:val="24"/>
          <w:lang w:val="pl-PL"/>
        </w:rPr>
        <w:t xml:space="preserve"> </w:t>
      </w:r>
      <w:r>
        <w:rPr>
          <w:rFonts w:ascii="Times New Roman"/>
          <w:b w:val="false"/>
          <w:i w:val="false"/>
          <w:color w:val="000000"/>
          <w:sz w:val="24"/>
          <w:lang w:val="pl-PL"/>
        </w:rPr>
        <w:t>Wysokość kary pieniężnej nie może przekroczyć 10 000 000 euro, wyrażonej w złotych i ustalanej przy zastosowaniu kursu średniego ogłaszanego przez Narodowy Bank Polski obowiązującego w dniu 31 grudnia w roku poprzedzającym rok wydania decyzji o wymierzeniu kary lub 2 % przychodów osiągniętych przez podmiot kluczowy z działalności gospodarczej w roku obrotowym poprzedzającym wymierzenie kary, przy czym zastosowanie ma kwota wyższa. Kara ta nie może być jednak niższa niż 20 000 zł.</w:t>
      </w:r>
    </w:p>
    <w:p>
      <w:pPr>
        <w:spacing w:before="26" w:after="0"/>
        <w:ind w:left="0"/>
        <w:jc w:val="left"/>
        <w:textAlignment w:val="auto"/>
      </w:pPr>
      <w:r>
        <w:rPr>
          <w:rFonts w:ascii="Times New Roman"/>
          <w:b w:val="false"/>
          <w:i w:val="false"/>
          <w:color w:val="000000"/>
          <w:sz w:val="24"/>
          <w:lang w:val="pl-PL"/>
        </w:rPr>
        <w:t xml:space="preserve">3a. </w:t>
      </w:r>
      <w:r>
        <w:rPr>
          <w:rFonts w:ascii="Times New Roman"/>
          <w:b w:val="false"/>
          <w:i w:val="false"/>
          <w:color w:val="000000"/>
          <w:sz w:val="24"/>
          <w:vertAlign w:val="superscript"/>
          <w:lang w:val="pl-PL"/>
        </w:rPr>
        <w:t>462</w:t>
      </w:r>
      <w:r>
        <w:rPr>
          <w:rFonts w:ascii="Times New Roman"/>
          <w:b w:val="false"/>
          <w:i w:val="false"/>
          <w:color w:val="000000"/>
          <w:sz w:val="24"/>
          <w:lang w:val="pl-PL"/>
        </w:rPr>
        <w:t xml:space="preserve"> </w:t>
      </w:r>
      <w:r>
        <w:rPr>
          <w:rFonts w:ascii="Times New Roman"/>
          <w:b w:val="false"/>
          <w:i w:val="false"/>
          <w:color w:val="000000"/>
          <w:sz w:val="24"/>
          <w:lang w:val="pl-PL"/>
        </w:rPr>
        <w:t>W przypadku gdy okres wykonywania działalności gospodarczej jest krótszy niż 12 miesięcy albo podmiot nie osiągnął przychodu za podstawę wymiaru kary pieniężnej przyjmuje się równowartość kwoty 500 000 euro, wyrażonej w złotych i ustalanej przy zastosowaniu kursu średniego ogłaszanego przez Narodowy Bank Polski obowiązującego w dniu 31 grudnia w roku poprzedzającym rok wydania decyzji o wymierzeniu kary.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463</w:t>
      </w:r>
      <w:r>
        <w:rPr>
          <w:rFonts w:ascii="Times New Roman"/>
          <w:b w:val="false"/>
          <w:i w:val="false"/>
          <w:color w:val="000000"/>
          <w:sz w:val="24"/>
          <w:lang w:val="pl-PL"/>
        </w:rPr>
        <w:t xml:space="preserve"> </w:t>
      </w:r>
      <w:r>
        <w:rPr>
          <w:rFonts w:ascii="Times New Roman"/>
          <w:b w:val="false"/>
          <w:i w:val="false"/>
          <w:color w:val="000000"/>
          <w:sz w:val="24"/>
          <w:lang w:val="pl-PL"/>
        </w:rPr>
        <w:t>Wysokość kary pieniężnej nie może przekroczyć 7 000 000 euro, wyrażonej w złotych i ustalanej przy zastosowaniu kursu średniego ogłaszanego przez Narodowy Bank Polski obowiązującego w dniu 31 grudnia w roku poprzedzającym rok wydania decyzji o wymierzeniu kary lub 1,4 % przychodów osiągniętych przez podmiot ważny z działalności gospodarczej w roku obrotowym poprzedzającym wymierzenie kary. Kara ta nie może być jednak niższa niż 15 000 zł. Przepis ust. 3a stosuje się odpowiednio z zastrzeżeniem, że za podstawę wymiaru kary pieniężnej przyjmuje się równowartość kwoty 250 000 euro.</w:t>
      </w:r>
    </w:p>
    <w:p>
      <w:pPr>
        <w:spacing w:before="26"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464</w:t>
      </w:r>
      <w:r>
        <w:rPr>
          <w:rFonts w:ascii="Times New Roman"/>
          <w:b w:val="false"/>
          <w:i w:val="false"/>
          <w:color w:val="000000"/>
          <w:sz w:val="24"/>
          <w:lang w:val="pl-PL"/>
        </w:rPr>
        <w:t xml:space="preserve"> </w:t>
      </w:r>
      <w:r>
        <w:rPr>
          <w:rFonts w:ascii="Times New Roman"/>
          <w:b w:val="false"/>
          <w:i w:val="false"/>
          <w:color w:val="000000"/>
          <w:sz w:val="24"/>
          <w:lang w:val="pl-PL"/>
        </w:rPr>
        <w:t>Jeżeli podmiot kluczowy albo podmiot ważny narusza przepisy ustawy, powodując:</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bezpośrednie i poważne cyberzagrożenie dla obronności, bezpieczeństwa państwa, bezpieczeństwa i porządku publicznego lub życia i zdrowia ludzi,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zagrożenie wywołania poważnej szkody majątkowej lub poważnych utrudnień w świadczeniu usług</w:t>
      </w:r>
    </w:p>
    <w:p>
      <w:pPr>
        <w:spacing w:before="25" w:after="0"/>
        <w:ind w:left="0"/>
        <w:jc w:val="left"/>
        <w:textAlignment w:val="auto"/>
      </w:pPr>
      <w:r>
        <w:rPr>
          <w:rFonts w:ascii="Times New Roman"/>
          <w:b w:val="false"/>
          <w:i w:val="false"/>
          <w:color w:val="000000"/>
          <w:sz w:val="24"/>
          <w:lang w:val="pl-PL"/>
        </w:rPr>
        <w:t>- organ właściwy do spraw cyberbezpieczeństwa nakłada karę w wysokości do 100 000 000 zł.</w:t>
      </w:r>
    </w:p>
    <w:p>
      <w:pPr>
        <w:spacing w:before="80" w:after="0"/>
        <w:ind w:left="0"/>
        <w:jc w:val="left"/>
        <w:textAlignment w:val="auto"/>
      </w:pPr>
      <w:r>
        <w:rPr>
          <w:rFonts w:ascii="Times New Roman"/>
          <w:b/>
          <w:i w:val="false"/>
          <w:color w:val="000000"/>
          <w:sz w:val="24"/>
          <w:lang w:val="pl-PL"/>
        </w:rPr>
        <w:t xml:space="preserve"> Art. 73a. </w:t>
      </w:r>
      <w:r>
        <w:rPr>
          <w:rFonts w:ascii="Times New Roman"/>
          <w:b/>
          <w:i w:val="false"/>
          <w:color w:val="000000"/>
          <w:sz w:val="24"/>
          <w:vertAlign w:val="superscript"/>
          <w:lang w:val="pl-PL"/>
        </w:rPr>
        <w:t>465</w:t>
      </w:r>
      <w:r>
        <w:rPr>
          <w:rFonts w:ascii="Times New Roman"/>
          <w:b/>
          <w:i w:val="false"/>
          <w:color w:val="000000"/>
          <w:sz w:val="24"/>
          <w:lang w:val="pl-PL"/>
        </w:rPr>
        <w:t xml:space="preserve"> </w:t>
      </w:r>
      <w:r>
        <w:rPr>
          <w:rFonts w:ascii="Times New Roman"/>
          <w:b/>
          <w:i w:val="false"/>
          <w:color w:val="000000"/>
          <w:sz w:val="24"/>
          <w:lang w:val="pl-PL"/>
        </w:rPr>
        <w:t>[Nałożenie kary pieniężnej na kierownika podmiotu kluczowego lub podmiotu ważnego]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Karze pieniężnej może podlegać kierownik podmiotu kluczowego lub podmiotu ważnego, który: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7b ust. 4, art. 7c ust. 1, 3 lub art. 7f ust. 3,</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8,</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8d,</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8e,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 wykonał obowiązku, o którym mowa w art. 8f ust. 1 lub 2,</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wyznaczył co najmniej dwóch osób do kontaktu z podmiotami kluczowymi lub podmiotami ważnymi, albo w przypadku kierowania mikro- lub małym przedsiębiorcą, o którym mowa w </w:t>
      </w:r>
      <w:r>
        <w:rPr>
          <w:rFonts w:ascii="Times New Roman"/>
          <w:b w:val="false"/>
          <w:i w:val="false"/>
          <w:color w:val="1b1b1b"/>
          <w:sz w:val="24"/>
          <w:lang w:val="pl-PL"/>
        </w:rPr>
        <w:t>art. 2 ust. 1</w:t>
      </w:r>
      <w:r>
        <w:rPr>
          <w:rFonts w:ascii="Times New Roman"/>
          <w:b w:val="false"/>
          <w:i w:val="false"/>
          <w:color w:val="000000"/>
          <w:sz w:val="24"/>
          <w:lang w:val="pl-PL"/>
        </w:rPr>
        <w:t xml:space="preserve"> załącznika I do rozporządzenia 651/2014/UE, co najmniej jednej osoby do kontaktu z podmiotami krajowego systemu cyberbezpieczeństwa,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nie zapewnił użytkownikowi możliwości zgłoszenia cyberzagrożenia, incydentu lub podatności związanych ze świadczoną usługą,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10 ust. 1 i 6-8,</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11,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12 ust. 5-8,</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przekazał sprawozdanie końcowe, o którym mowa w art. 11 ust. 1 pkt 4c, niezawierające elementów określonych w art. 12a,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12b,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nie wykonuje obowiązku, o którym mowa w art. 14,</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15</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jeżeli przemawia za tym czas, zakres lub charakter naruszenia.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Karze pieniężnej może podlegać także kierownik podmiotu kluczowego lub podmiotu ważnego, którego zaniechanie w realizacji obowiązków, o których mowa w ust. 1, miało charakter jednorazowy.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Niezależnie od kary pieniężnej, o której mowa w art. 73 ust. 1, karę pieniężną można nałożyć również na kierownika podmiotu kluczowego lub podmiotu ważnego za niewykonanie obowiązków wskazanych w tym przepisie.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Kara pieniężna, o której mowa w ust. 1-3, może być wymierzona w kwocie nie większej niż 300 % otrzymywanego przez ukaranego wynagrodzenia obliczanego według zasad obowiązujących przy ustalaniu ekwiwalentu pieniężnego za urlop.</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Kara pieniężna, o której mowa w ust. 1-3, może być wymierzona kierownikowi podmiotu kluczowego lub podmiotu ważnego będącym podmiotem publicznym w kwocie nie większej niż 100 % otrzymywanego przez ukaranego wynagrodzenia obliczanego według zasad obowiązujących przy ustalaniu ekwiwalentu pieniężnego za urlop. W przypadku gdy podmiot kluczowy lub podmiot ważny będące podmiotem publicznym są zobowiązane do stosowania ustawy również na podstawie innego sektora wskazanego w załączniku nr 1 lub 2 do ustawy, do kar pieniężnych wymierzanych kierownikom tych podmiotów stosuje się przepis ust. 4.</w:t>
      </w:r>
    </w:p>
    <w:p>
      <w:pPr>
        <w:spacing w:before="80" w:after="0"/>
        <w:ind w:left="0"/>
        <w:jc w:val="left"/>
        <w:textAlignment w:val="auto"/>
      </w:pPr>
      <w:r>
        <w:rPr>
          <w:rFonts w:ascii="Times New Roman"/>
          <w:b/>
          <w:i w:val="false"/>
          <w:color w:val="000000"/>
          <w:sz w:val="24"/>
          <w:lang w:val="pl-PL"/>
        </w:rPr>
        <w:t xml:space="preserve"> Art. 73b. </w:t>
      </w:r>
      <w:r>
        <w:rPr>
          <w:rFonts w:ascii="Times New Roman"/>
          <w:b/>
          <w:i w:val="false"/>
          <w:color w:val="000000"/>
          <w:sz w:val="24"/>
          <w:vertAlign w:val="superscript"/>
          <w:lang w:val="pl-PL"/>
        </w:rPr>
        <w:t>466</w:t>
      </w:r>
      <w:r>
        <w:rPr>
          <w:rFonts w:ascii="Times New Roman"/>
          <w:b/>
          <w:i w:val="false"/>
          <w:color w:val="000000"/>
          <w:sz w:val="24"/>
          <w:lang w:val="pl-PL"/>
        </w:rPr>
        <w:t xml:space="preserve"> </w:t>
      </w:r>
      <w:r>
        <w:rPr>
          <w:rFonts w:ascii="Times New Roman"/>
          <w:b/>
          <w:i w:val="false"/>
          <w:color w:val="000000"/>
          <w:sz w:val="24"/>
          <w:lang w:val="pl-PL"/>
        </w:rPr>
        <w:t>[Nałożenie kary pieniężnej na inne podmioty]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Karze pieniężnej podlega: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świadczący usługi rejestracji nazw domen, który nie wykonuje obowiązków, o których mowa w art. 16b i art. 16c;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rejestr nazw domen najwyższego poziomu (TLD), który nie wykonuje obowiązków, o których mowa w art. 16b i art. 16c;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producent lub dostawca, który nie przekazał dokumentacji badanego produktu ICT lub usługi ICT na wezwanie CSIRT MON, CSIRT NASK lub CSIRT GOV;</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podmiot, który nie przekazał informacji, o których mowa w art. 43 ust. 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dostawca usług DNS, rejestr nazw domen najwyższego poziomu (TLD), podmiot świadczący usługi rejestracji nazw domen, dostawca chmury obliczeniowej, dostawca usług centrum przetwarzania danych, dostawca sieci dostarczania treści, dostawca usług zarządzanych, dostawca usług zarządzanych w zakresie cyberbezpieczeństwa, dostawca internetowej platformy handlowej, dostawca wyszukiwarki internetowej oraz dostawca platformy usług sieci społecznościowych świadczący usługi na terytorium Rzeczypospolitej Polskiej, który nie wyznaczył przedstawiciela zgodnie z art. 5a ust. 7.</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wysokości kary pieniężnej, o której mowa w ust. 1 pkt 1 i 5, jeżeli dostawca usług DNS, rejestr nazw domen najwyższego poziomu (TLD), podmiot świadczący usługi rejestracji nazw domen, dostawca chmury obliczeniowej, dostawca usług centrum przetwarzania danych, dostawca sieci dostarczania treści, dostawca usług zarządzanych, dostawca usług zarządzanych w zakresie cyberbezpieczeństwa, dostawca internetowej platformy handlowej, dostawca wyszukiwarki internetowej oraz dostawca platformy usług sieci społecznościowych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podmiotem kluczowym - stosuje się przepis art. 73 ust. 3;</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podmiotem ważnym - stosuje się przepis art. 73 ust. 4.</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wysokości kary pieniężnej, o której mowa w ust. 1 pkt 2, stosuje się przepis art. 73 ust. 3.</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Kara pieniężna, o której mowa w ust. 1 pkt 3 i 4, wynosi 50 000 zł.</w:t>
      </w:r>
    </w:p>
    <w:p>
      <w:pPr>
        <w:spacing w:before="80" w:after="0"/>
        <w:ind w:left="0"/>
        <w:jc w:val="left"/>
        <w:textAlignment w:val="auto"/>
      </w:pPr>
      <w:r>
        <w:rPr>
          <w:rFonts w:ascii="Times New Roman"/>
          <w:b/>
          <w:i w:val="false"/>
          <w:color w:val="000000"/>
          <w:sz w:val="24"/>
          <w:lang w:val="pl-PL"/>
        </w:rPr>
        <w:t xml:space="preserve"> Art. 73c. </w:t>
      </w:r>
      <w:r>
        <w:rPr>
          <w:rFonts w:ascii="Times New Roman"/>
          <w:b/>
          <w:i w:val="false"/>
          <w:color w:val="000000"/>
          <w:sz w:val="24"/>
          <w:vertAlign w:val="superscript"/>
          <w:lang w:val="pl-PL"/>
        </w:rPr>
        <w:t>467</w:t>
      </w:r>
      <w:r>
        <w:rPr>
          <w:rFonts w:ascii="Times New Roman"/>
          <w:b/>
          <w:i w:val="false"/>
          <w:color w:val="000000"/>
          <w:sz w:val="24"/>
          <w:lang w:val="pl-PL"/>
        </w:rPr>
        <w:t xml:space="preserve"> </w:t>
      </w:r>
      <w:r>
        <w:rPr>
          <w:rFonts w:ascii="Times New Roman"/>
          <w:b/>
          <w:i w:val="false"/>
          <w:color w:val="000000"/>
          <w:sz w:val="24"/>
          <w:lang w:val="pl-PL"/>
        </w:rPr>
        <w:t>[Nałożenie kary pieniężnej na podmiot finansowy niebędący podmiotem kluczowym lub podmiotem ważnym]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finansowy, który nie jest podmiotem kluczowym lub podmiotem ważnym oraz nie jest podmiotem określonym w </w:t>
      </w:r>
      <w:r>
        <w:rPr>
          <w:rFonts w:ascii="Times New Roman"/>
          <w:b w:val="false"/>
          <w:i w:val="false"/>
          <w:color w:val="1b1b1b"/>
          <w:sz w:val="24"/>
          <w:lang w:val="pl-PL"/>
        </w:rPr>
        <w:t>art. 16 ust. 1</w:t>
      </w:r>
      <w:r>
        <w:rPr>
          <w:rFonts w:ascii="Times New Roman"/>
          <w:b w:val="false"/>
          <w:i w:val="false"/>
          <w:color w:val="000000"/>
          <w:sz w:val="24"/>
          <w:lang w:val="pl-PL"/>
        </w:rPr>
        <w:t xml:space="preserve"> rozporządzenia 2022/2554, podlega karze pieniężnej,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wykonuje co najmniej jednego z obowiązków, o których mowa w art. 67c ust. 1, 2, 4 i 5;</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wdrożył w terminie określonym w poleceniu zabezpieczającym, o którym mowa w art. 67g ust. 9 pkt 3, określonego zachowania, o którym mowa w art. 67g ust. 10;</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odstąpił od wykonywania zawartego w poleceniu zabezpieczającym, o którym mowa w art. 67g ust. 9, określonego zachowania, o którym mowa w art. 67g ust. 10, przed wygaśnięciem polecenia zabezpieczającego.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wysokości kary pieniężnej, o której mowa w ust. 1, stosuje się przepis art. 73 ust. 3.</w:t>
      </w:r>
    </w:p>
    <w:p>
      <w:pPr>
        <w:spacing w:before="80" w:after="0"/>
        <w:ind w:left="0"/>
        <w:jc w:val="left"/>
        <w:textAlignment w:val="auto"/>
      </w:pPr>
      <w:r>
        <w:rPr>
          <w:rFonts w:ascii="Times New Roman"/>
          <w:b/>
          <w:i w:val="false"/>
          <w:color w:val="000000"/>
          <w:sz w:val="24"/>
          <w:lang w:val="pl-PL"/>
        </w:rPr>
        <w:t xml:space="preserve"> Art. 74. </w:t>
      </w:r>
      <w:r>
        <w:rPr>
          <w:rFonts w:ascii="Times New Roman"/>
          <w:b/>
          <w:i w:val="false"/>
          <w:color w:val="000000"/>
          <w:sz w:val="24"/>
          <w:vertAlign w:val="superscript"/>
          <w:lang w:val="pl-PL"/>
        </w:rPr>
        <w:t>468</w:t>
      </w:r>
      <w:r>
        <w:rPr>
          <w:rFonts w:ascii="Times New Roman"/>
          <w:b/>
          <w:i w:val="false"/>
          <w:color w:val="000000"/>
          <w:sz w:val="24"/>
          <w:lang w:val="pl-PL"/>
        </w:rPr>
        <w:t xml:space="preserve"> </w:t>
      </w:r>
      <w:r>
        <w:rPr>
          <w:rFonts w:ascii="Times New Roman"/>
          <w:b/>
          <w:i w:val="false"/>
          <w:color w:val="000000"/>
          <w:sz w:val="24"/>
          <w:lang w:val="pl-PL"/>
        </w:rPr>
        <w:t>[Procedura nałożenia kary pieniężnej; wpływy z kar pieniężnych jako przychód Funduszu Cyberbezpieczeństwa]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Karę pieniężną, o której mowa w art. 73, art. 73a i art. 73b ust. 1 pkt 4 i 5, nakłada, w drodze decyzji, organ właściwy do spraw cyberbezpieczeństwa.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Karę pieniężną, o której mowa w art. 73b ust. 1 pkt 1-3, nakłada, w drodze decyzji, minister właściwy do spraw informatyzacji.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Karę pieniężną, o której mowa w art. 73c ust. 1, nakłada, w drodze decyzji, właściwy organ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właściwy do spraw cyberbezpieczeństwa lub właściwy organ w rozumieniu </w:t>
      </w:r>
      <w:r>
        <w:rPr>
          <w:rFonts w:ascii="Times New Roman"/>
          <w:b w:val="false"/>
          <w:i w:val="false"/>
          <w:color w:val="1b1b1b"/>
          <w:sz w:val="24"/>
          <w:lang w:val="pl-PL"/>
        </w:rPr>
        <w:t>rozporządzenia</w:t>
      </w:r>
      <w:r>
        <w:rPr>
          <w:rFonts w:ascii="Times New Roman"/>
          <w:b w:val="false"/>
          <w:i w:val="false"/>
          <w:color w:val="000000"/>
          <w:sz w:val="24"/>
          <w:lang w:val="pl-PL"/>
        </w:rPr>
        <w:t xml:space="preserve"> 2022/2554 może decyzji, o której mowa w ust. 1 lub 3, nadać rygor natychmiastowej wykonalności w całości albo w części, jeżeli wymaga tego ochrona bezpieczeństwa lub porządku publicznego.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Wpływy z tytułu kar pieniężnych, o których mowa w art. 73-73c, stanowią przychód Funduszu Cyberbezpieczeństwa, o którym mowa w art. 2 ustawy z dnia 2 grudnia 2021 r. o szczególnych zasadach wynagradzania osób realizujących zadania z zakresu cyberbezpieczeństwa.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przekazuje Komisji Wspólnej Rządu i Samorządu Terytorialnego, do końca pierwszego kwartału danego roku, informację za rok poprzedni o wysokości wpływów z tytułu kar pieniężnych, nałożonych na samorządowe podmioty publiczne, stanowiących przychód Funduszu Cyberbezpieczeństwa, o którym mowa w </w:t>
      </w:r>
      <w:r>
        <w:rPr>
          <w:rFonts w:ascii="Times New Roman"/>
          <w:b w:val="false"/>
          <w:i w:val="false"/>
          <w:color w:val="1b1b1b"/>
          <w:sz w:val="24"/>
          <w:lang w:val="pl-PL"/>
        </w:rPr>
        <w:t>art. 2</w:t>
      </w:r>
      <w:r>
        <w:rPr>
          <w:rFonts w:ascii="Times New Roman"/>
          <w:b w:val="false"/>
          <w:i w:val="false"/>
          <w:color w:val="000000"/>
          <w:sz w:val="24"/>
          <w:lang w:val="pl-PL"/>
        </w:rPr>
        <w:t xml:space="preserve"> ustawy z dnia 2 grudnia 2021 r. o szczególnych zasadach wynagradzania osób realizujących zadania z zakresu cyberbezpieczeństwa.</w:t>
      </w:r>
    </w:p>
    <w:p>
      <w:pPr>
        <w:spacing w:before="80" w:after="0"/>
        <w:ind w:left="0"/>
        <w:jc w:val="left"/>
        <w:textAlignment w:val="auto"/>
      </w:pPr>
      <w:r>
        <w:rPr>
          <w:rFonts w:ascii="Times New Roman"/>
          <w:b/>
          <w:i w:val="false"/>
          <w:color w:val="000000"/>
          <w:sz w:val="24"/>
          <w:lang w:val="pl-PL"/>
        </w:rPr>
        <w:t xml:space="preserve"> Art. 75. </w:t>
      </w:r>
      <w:r>
        <w:rPr>
          <w:rFonts w:ascii="Times New Roman"/>
          <w:b/>
          <w:i w:val="false"/>
          <w:color w:val="000000"/>
          <w:sz w:val="24"/>
          <w:vertAlign w:val="superscript"/>
          <w:lang w:val="pl-PL"/>
        </w:rPr>
        <w:t>469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76. </w:t>
      </w:r>
      <w:r>
        <w:rPr>
          <w:rFonts w:ascii="Times New Roman"/>
          <w:b/>
          <w:i w:val="false"/>
          <w:color w:val="000000"/>
          <w:sz w:val="24"/>
          <w:vertAlign w:val="superscript"/>
          <w:lang w:val="pl-PL"/>
        </w:rPr>
        <w:t>470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76a. </w:t>
      </w:r>
      <w:r>
        <w:rPr>
          <w:rFonts w:ascii="Times New Roman"/>
          <w:b/>
          <w:i w:val="false"/>
          <w:color w:val="000000"/>
          <w:sz w:val="24"/>
          <w:vertAlign w:val="superscript"/>
          <w:lang w:val="pl-PL"/>
        </w:rPr>
        <w:t>471</w:t>
      </w:r>
      <w:r>
        <w:rPr>
          <w:rFonts w:ascii="Times New Roman"/>
          <w:b/>
          <w:i w:val="false"/>
          <w:color w:val="000000"/>
          <w:sz w:val="24"/>
          <w:lang w:val="pl-PL"/>
        </w:rPr>
        <w:t xml:space="preserve"> </w:t>
      </w:r>
      <w:r>
        <w:rPr>
          <w:rFonts w:ascii="Times New Roman"/>
          <w:b/>
          <w:i w:val="false"/>
          <w:color w:val="000000"/>
          <w:sz w:val="24"/>
          <w:lang w:val="pl-PL"/>
        </w:rPr>
        <w:t>[Kryteria uwzględniane przy ustalaniu wysokości kary pieniężnej; uiszczenie kary pieniężnej]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właściwy do spraw cyberbezpieczeństwa, podejmując decyzję o nałożeniu kary pieniężnej i ustalając jej wysokość, uwzględnia odpowiednio kryteria określone w art. 53 ust. 12 oraz wysokość przychodu uzyskanego z działalności gospodarczej w roku obrotowym poprzedzającym wymierzenie kary pieniężnej, możliwości finansowe podmiotu kluczowego lub podmiotu ważnego będącego podmiotem publicznym albo możliwości finansowe kierownika podmiotu kluczowego lub podmiotu ważnego. Przepisu </w:t>
      </w:r>
      <w:r>
        <w:rPr>
          <w:rFonts w:ascii="Times New Roman"/>
          <w:b w:val="false"/>
          <w:i w:val="false"/>
          <w:color w:val="1b1b1b"/>
          <w:sz w:val="24"/>
          <w:lang w:val="pl-PL"/>
        </w:rPr>
        <w:t>art. 189a § 2</w:t>
      </w:r>
      <w:r>
        <w:rPr>
          <w:rFonts w:ascii="Times New Roman"/>
          <w:b w:val="false"/>
          <w:i w:val="false"/>
          <w:color w:val="000000"/>
          <w:sz w:val="24"/>
          <w:lang w:val="pl-PL"/>
        </w:rPr>
        <w:t xml:space="preserve"> ustawy z dnia 14 czerwca 1960 r. - Kodeks postępowania administracyjnego nie stosuje się.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gdy podmiot kluczowy lub podmiot ważny powstał w wyniku połączenia lub przekształcenia innych podmiotów, obliczając wysokość jego przychodu organ właściwy do spraw cyberbezpieczeństwa uwzględnia przychód osiągnięty przez te podmioty w roku obrotowym poprzedzającym rok nałożenia kary pieniężnej. Przepisy art. 73 ust. 3-4 stosuje się odpowiednio.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związku z toczącym się postępowaniem w sprawie nałożenia kary pieniężnej, podmiot, wobec którego wszczęto to postępowanie lub podmiot zatrudniający kierownika podmiotu kluczowego lub podmiotu ważnego jest obowiązany do dostarczenia organowi uprawnionemu do nałożenia kary pieniężnej na każde jego żądanie, w terminie wskazanym w wezwaniu, nie dłuższym niż 1 miesiąc od dnia otrzymania żądania, danych niezbędnych do określenia podstawy wymiaru kary pieniężnej.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niedostarczenia danych lub dostarczenia danych uniemożliwiających ustalenie podstawy wymiaru kary pieniężnej, organ właściwy do spraw cyberbezpieczeństwa ustala podstawę wymiaru kary pieniężnej w sposób szacunkowy, uwzględniając w szczególności wielkość danego podmiotu kluczowego lub podmiotu ważnego, specyfikę działalności tego podmiotu lub ogólnodostępne dane finansowe.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Karę pieniężną uiszcza się w terminie 14 dni od dnia, w którym decyzja o jej wymierzeniu stała się ostateczna, lub od dnia doręczenia decyzji z rygorem natychmiastowej wykonalności, na rachunek bankowy organu właściwego do spraw cyberbezpieczeństwa, wskazany w decyzji o wymierzeniu kary pieniężnej.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Kary pieniężne nieuiszczone w terminie wraz z odsetkami podlegają ściągnięciu przez organ właściwy do spraw cyberbezpieczeństwa, który wymierzył karę pieniężną, w trybie określonym w przepisach o postępowaniu egzekucyjnym w administracji.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przekazuje na rachunek Funduszu Cyberbezpieczeństwa środki pochodzące z kar pieniężnych w terminie 14 dni od dnia ich uiszczenia albo pobrania. W tym samym terminie przekazuje ministrowi właściwemu do spraw informatyzacji kopię decyzji o wymierzeniu kary pieniężnej lub innego dokumentu stanowiącego podstawę naliczenia, pobrania i przekazania na rachunek Funduszu Cyberbezpieczeństwa kary pieniężnej lub odsetek od nieterminowej wpłaty.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w terminie 14 dni od dnia wystąpienia zdarzenia mogącego skutkować zmianą lub uchyleniem decyzji lub innego dokumentu stanowiącego podstawę do naliczenia, pobrania i przekazania na rachunek Funduszu Cyberbezpieczeństwa środków pochodzących z kar pieniężnych, informuje ministra właściwego do spraw informatyzacji o tym zdarzeniu, a w szczególności o wniesieniu skargi do sądu administracyjnego, skargi kasacyjnej, wydaniu prawomocnego wyroku, wszczęciu lub zakończeniu postępowania administracyjnego w zakresie wznowienia postępowania, uchylenia, zmiany lub stwierdzenia nieważności decyzji.</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spraw cyberbezpieczeństwa może odstąpić od nałożenia kary pieniężnej, jeżeli waga naruszenia i znaczenie naruszonych przepisów są znikome, a podmiot albo kierownik podmiotu kluczowego lub podmiotu ważnego zaprzestał naruszania prawa lub naprawił wyrządzoną szkodę.</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Do postępowania w sprawie nałożenia kar pieniężnych, o których mowa w art. 73b ust. 1 i art. 73c ust. 1, stosuje się odpowiednio przepisy ust. 1-9.</w:t>
      </w:r>
    </w:p>
    <w:p>
      <w:pPr>
        <w:spacing w:before="80" w:after="0"/>
        <w:ind w:left="0"/>
        <w:jc w:val="left"/>
        <w:textAlignment w:val="auto"/>
      </w:pPr>
      <w:r>
        <w:rPr>
          <w:rFonts w:ascii="Times New Roman"/>
          <w:b/>
          <w:i w:val="false"/>
          <w:color w:val="000000"/>
          <w:sz w:val="24"/>
          <w:lang w:val="pl-PL"/>
        </w:rPr>
        <w:t xml:space="preserve"> Art. 76b. </w:t>
      </w:r>
      <w:r>
        <w:rPr>
          <w:rFonts w:ascii="Times New Roman"/>
          <w:b/>
          <w:i w:val="false"/>
          <w:color w:val="000000"/>
          <w:sz w:val="24"/>
          <w:vertAlign w:val="superscript"/>
          <w:lang w:val="pl-PL"/>
        </w:rPr>
        <w:t>472</w:t>
      </w:r>
      <w:r>
        <w:rPr>
          <w:rFonts w:ascii="Times New Roman"/>
          <w:b/>
          <w:i w:val="false"/>
          <w:color w:val="000000"/>
          <w:sz w:val="24"/>
          <w:lang w:val="pl-PL"/>
        </w:rPr>
        <w:t xml:space="preserve"> </w:t>
      </w:r>
      <w:r>
        <w:rPr>
          <w:rFonts w:ascii="Times New Roman"/>
          <w:b/>
          <w:i w:val="false"/>
          <w:color w:val="000000"/>
          <w:sz w:val="24"/>
          <w:lang w:val="pl-PL"/>
        </w:rPr>
        <w:t>[Okresowa kara pieniężna]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Niezależnie od kary pieniężnej nałożonej na podstawie art. 73 ust. 1, organ właściwy do spraw cyberbezpieczeństwa, w celu przymuszenia podmiotu kluczowego albo podmiotu ważnego do wykonania nałożonych na niego obowiązków, może nałożyć na ten podmiot, w drodze decyzji, okresową karę pieniężną w wysokości od 500 zł do 100 000 złotych za każdy dzień opóźnienia, w wykonaniu decyzji wydanych na podstawie art. 53 ust. 5 pkt 2-8.</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Okresową karę pieniężną nakłada się, licząc od daty wskazanej w decyzji o nałożeniu tej kary.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okresowej kary pieniężnej stosuje się przepisy art. 74 ust. 4 i 5.</w:t>
      </w:r>
    </w:p>
    <w:p>
      <w:pPr>
        <w:spacing w:before="80" w:after="0"/>
        <w:ind w:left="0"/>
        <w:jc w:val="left"/>
        <w:textAlignment w:val="auto"/>
      </w:pPr>
      <w:r>
        <w:rPr>
          <w:rFonts w:ascii="Times New Roman"/>
          <w:b/>
          <w:i w:val="false"/>
          <w:color w:val="000000"/>
          <w:sz w:val="24"/>
          <w:lang w:val="pl-PL"/>
        </w:rPr>
        <w:t xml:space="preserve"> Art. 76c. </w:t>
      </w:r>
      <w:r>
        <w:rPr>
          <w:rFonts w:ascii="Times New Roman"/>
          <w:b/>
          <w:i w:val="false"/>
          <w:color w:val="000000"/>
          <w:sz w:val="24"/>
          <w:vertAlign w:val="superscript"/>
          <w:lang w:val="pl-PL"/>
        </w:rPr>
        <w:t>473</w:t>
      </w:r>
      <w:r>
        <w:rPr>
          <w:rFonts w:ascii="Times New Roman"/>
          <w:b/>
          <w:i w:val="false"/>
          <w:color w:val="000000"/>
          <w:sz w:val="24"/>
          <w:lang w:val="pl-PL"/>
        </w:rPr>
        <w:t xml:space="preserve"> </w:t>
      </w:r>
      <w:r>
        <w:rPr>
          <w:rFonts w:ascii="Times New Roman"/>
          <w:b/>
          <w:i w:val="false"/>
          <w:color w:val="000000"/>
          <w:sz w:val="24"/>
          <w:lang w:val="pl-PL"/>
        </w:rPr>
        <w:t>[Pouczenie w przypadku nałożenia kary pieniężnej przez Prezesa UODO]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 czyn zagrożony karą określoną w art. 73 lub art. 73a została nałożona prawomocnie kara pieniężna przez Prezesa Urzędu Ochrony Danych Osobowych w związku z naruszeniem ochrony danych osobowych, organ właściwy do spraw cyberbezpieczeństwa nie wszczyna postępowania w sprawie nałożenia kary i poprzestaje na pouczeniu. Jeżeli zostało wszczęte postępowanie w sprawie nałożenia kary pieniężnej, stosuje się odpowiednio przepis </w:t>
      </w:r>
      <w:r>
        <w:rPr>
          <w:rFonts w:ascii="Times New Roman"/>
          <w:b w:val="false"/>
          <w:i w:val="false"/>
          <w:color w:val="1b1b1b"/>
          <w:sz w:val="24"/>
          <w:lang w:val="pl-PL"/>
        </w:rPr>
        <w:t>art. 189f ust. 1 pkt 2</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o którym mowa w ust. 1, organ właściwy do spraw cyberbezpieczeństwa może stosować środki nadzoru określone w art. 53 ust. 4, 5 i 9.</w:t>
      </w:r>
    </w:p>
    <w:p>
      <w:pPr>
        <w:spacing w:before="80" w:after="0"/>
        <w:ind w:left="0"/>
        <w:jc w:val="left"/>
        <w:textAlignment w:val="auto"/>
      </w:pPr>
      <w:r>
        <w:rPr>
          <w:rFonts w:ascii="Times New Roman"/>
          <w:b/>
          <w:i w:val="false"/>
          <w:color w:val="000000"/>
          <w:sz w:val="24"/>
          <w:lang w:val="pl-PL"/>
        </w:rPr>
        <w:t xml:space="preserve"> Art. 76d. </w:t>
      </w:r>
      <w:r>
        <w:rPr>
          <w:rFonts w:ascii="Times New Roman"/>
          <w:b/>
          <w:i w:val="false"/>
          <w:color w:val="000000"/>
          <w:sz w:val="24"/>
          <w:vertAlign w:val="superscript"/>
          <w:lang w:val="pl-PL"/>
        </w:rPr>
        <w:t>474</w:t>
      </w:r>
      <w:r>
        <w:rPr>
          <w:rFonts w:ascii="Times New Roman"/>
          <w:b/>
          <w:i w:val="false"/>
          <w:color w:val="000000"/>
          <w:sz w:val="24"/>
          <w:lang w:val="pl-PL"/>
        </w:rPr>
        <w:t xml:space="preserve"> </w:t>
      </w:r>
      <w:r>
        <w:rPr>
          <w:rFonts w:ascii="Times New Roman"/>
          <w:b/>
          <w:i w:val="false"/>
          <w:color w:val="000000"/>
          <w:sz w:val="24"/>
          <w:lang w:val="pl-PL"/>
        </w:rPr>
        <w:t>[Procedura nałożenia kary pieniężnej z wykorzystaniem pism generowanych automatycznie]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art. 73 ust. 1 pkt 3, kara pieniężna może być nakładana w sposób określony w </w:t>
      </w:r>
      <w:r>
        <w:rPr>
          <w:rFonts w:ascii="Times New Roman"/>
          <w:b w:val="false"/>
          <w:i w:val="false"/>
          <w:color w:val="1b1b1b"/>
          <w:sz w:val="24"/>
          <w:lang w:val="pl-PL"/>
        </w:rPr>
        <w:t>art. 14 § 1b</w:t>
      </w:r>
      <w:r>
        <w:rPr>
          <w:rFonts w:ascii="Times New Roman"/>
          <w:b w:val="false"/>
          <w:i w:val="false"/>
          <w:color w:val="000000"/>
          <w:sz w:val="24"/>
          <w:lang w:val="pl-PL"/>
        </w:rPr>
        <w:t xml:space="preserve"> ustawy z dnia 14 czerwca 1960 r. - Kodeks postępowania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nałożenia kary pieniężnej stosuje się przepisy działu II rozdziału 14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z wyjątkiem przepisów o milczącym załatwieniu sprawy.</w:t>
      </w:r>
    </w:p>
    <w:p>
      <w:pPr>
        <w:spacing w:before="80" w:after="0"/>
        <w:ind w:left="0"/>
        <w:jc w:val="left"/>
        <w:textAlignment w:val="auto"/>
      </w:pPr>
      <w:r>
        <w:rPr>
          <w:rFonts w:ascii="Times New Roman"/>
          <w:b/>
          <w:i w:val="false"/>
          <w:color w:val="000000"/>
          <w:sz w:val="24"/>
          <w:lang w:val="pl-PL"/>
        </w:rPr>
        <w:t xml:space="preserve"> Art. 76e. </w:t>
      </w:r>
      <w:r>
        <w:rPr>
          <w:rFonts w:ascii="Times New Roman"/>
          <w:b/>
          <w:i w:val="false"/>
          <w:color w:val="000000"/>
          <w:sz w:val="24"/>
          <w:vertAlign w:val="superscript"/>
          <w:lang w:val="pl-PL"/>
        </w:rPr>
        <w:t>475</w:t>
      </w:r>
      <w:r>
        <w:rPr>
          <w:rFonts w:ascii="Times New Roman"/>
          <w:b/>
          <w:i w:val="false"/>
          <w:color w:val="000000"/>
          <w:sz w:val="24"/>
          <w:lang w:val="pl-PL"/>
        </w:rPr>
        <w:t xml:space="preserve"> </w:t>
      </w:r>
      <w:r>
        <w:rPr>
          <w:rFonts w:ascii="Times New Roman"/>
          <w:b/>
          <w:i w:val="false"/>
          <w:color w:val="000000"/>
          <w:sz w:val="24"/>
          <w:lang w:val="pl-PL"/>
        </w:rPr>
        <w:t>[Uzupełniające stosowanie przepisów k.p.a.]</w:t>
      </w:r>
    </w:p>
    <w:p>
      <w:pPr>
        <w:spacing w:after="0"/>
        <w:ind w:left="0"/>
        <w:jc w:val="left"/>
        <w:textAlignment w:val="auto"/>
      </w:pPr>
      <w:r>
        <w:rPr>
          <w:rFonts w:ascii="Times New Roman"/>
          <w:b w:val="false"/>
          <w:i w:val="false"/>
          <w:color w:val="000000"/>
          <w:sz w:val="24"/>
          <w:lang w:val="pl-PL"/>
        </w:rPr>
        <w:t xml:space="preserve">W zakresie nieuregulowanym w niniejszym rozdziale stosuje się odpowiednio przepisy działu IVa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w:t>
      </w:r>
    </w:p>
    <w:p>
      <w:pPr>
        <w:spacing w:before="89" w:after="0"/>
        <w:ind w:left="0"/>
        <w:jc w:val="center"/>
        <w:textAlignment w:val="auto"/>
      </w:pPr>
      <w:r>
        <w:rPr>
          <w:rFonts w:ascii="Times New Roman"/>
          <w:b/>
          <w:i w:val="false"/>
          <w:color w:val="000000"/>
          <w:sz w:val="24"/>
          <w:lang w:val="pl-PL"/>
        </w:rPr>
        <w:t>Rozdział 15</w:t>
      </w:r>
    </w:p>
    <w:p>
      <w:pPr>
        <w:spacing w:before="25" w:after="0"/>
        <w:ind w:left="0"/>
        <w:jc w:val="center"/>
        <w:textAlignment w:val="auto"/>
      </w:pPr>
      <w:r>
        <w:rPr>
          <w:rFonts w:ascii="Times New Roman"/>
          <w:b/>
          <w:i w:val="false"/>
          <w:color w:val="000000"/>
          <w:sz w:val="24"/>
          <w:lang w:val="pl-PL"/>
        </w:rPr>
        <w:t>Zmiany w przepisach, przepisy przejściowe, dostosowujące i końcowe</w:t>
      </w:r>
    </w:p>
    <w:p>
      <w:pPr>
        <w:spacing w:before="80" w:after="0"/>
        <w:ind w:left="0"/>
        <w:jc w:val="left"/>
        <w:textAlignment w:val="auto"/>
      </w:pPr>
      <w:r>
        <w:rPr>
          <w:rFonts w:ascii="Times New Roman"/>
          <w:b/>
          <w:i w:val="false"/>
          <w:color w:val="000000"/>
          <w:sz w:val="24"/>
          <w:lang w:val="pl-PL"/>
        </w:rPr>
        <w:t>Art. 77.</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7 września 1991 r. o systemie oświaty (Dz. U. z 2018 r. poz. 1457) w </w:t>
      </w:r>
      <w:r>
        <w:rPr>
          <w:rFonts w:ascii="Times New Roman"/>
          <w:b w:val="false"/>
          <w:i w:val="false"/>
          <w:color w:val="1b1b1b"/>
          <w:sz w:val="24"/>
          <w:lang w:val="pl-PL"/>
        </w:rPr>
        <w:t>art. 90u</w:t>
      </w:r>
      <w:r>
        <w:rPr>
          <w:rFonts w:ascii="Times New Roman"/>
          <w:b w:val="false"/>
          <w:i w:val="false"/>
          <w:color w:val="000000"/>
          <w:sz w:val="24"/>
          <w:lang w:val="pl-PL"/>
        </w:rPr>
        <w:t>: (zmiany pominięte).</w:t>
      </w:r>
    </w:p>
    <w:p>
      <w:pPr>
        <w:spacing w:before="80" w:after="0"/>
        <w:ind w:left="0"/>
        <w:jc w:val="left"/>
        <w:textAlignment w:val="auto"/>
      </w:pPr>
      <w:r>
        <w:rPr>
          <w:rFonts w:ascii="Times New Roman"/>
          <w:b/>
          <w:i w:val="false"/>
          <w:color w:val="000000"/>
          <w:sz w:val="24"/>
          <w:lang w:val="pl-PL"/>
        </w:rPr>
        <w:t>Art. 78.</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4 września 1997 r. o działach administracji rządowej (Dz. U. z 2018 r. poz. 762, 810, 1090, 1467 i 1544) wprowadza się następujące zmiany: (zmiany pominięte).</w:t>
      </w:r>
    </w:p>
    <w:p>
      <w:pPr>
        <w:spacing w:before="80" w:after="0"/>
        <w:ind w:left="0"/>
        <w:jc w:val="left"/>
        <w:textAlignment w:val="auto"/>
      </w:pPr>
      <w:r>
        <w:rPr>
          <w:rFonts w:ascii="Times New Roman"/>
          <w:b/>
          <w:i w:val="false"/>
          <w:color w:val="000000"/>
          <w:sz w:val="24"/>
          <w:lang w:val="pl-PL"/>
        </w:rPr>
        <w:t>Art. 79.</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maja 2002 r. o Agencji Bezpieczeństwa Wewnętrznego oraz Agencji Wywiadu (Dz. U. z 2017 r. poz. 1920, z późn. zm.) po art. 32a dodaje się art. 32aa w brzmieniu: (zmiany pominięte).</w:t>
      </w:r>
    </w:p>
    <w:p>
      <w:pPr>
        <w:spacing w:before="80" w:after="0"/>
        <w:ind w:left="0"/>
        <w:jc w:val="left"/>
        <w:textAlignment w:val="auto"/>
      </w:pPr>
      <w:r>
        <w:rPr>
          <w:rFonts w:ascii="Times New Roman"/>
          <w:b/>
          <w:i w:val="false"/>
          <w:color w:val="000000"/>
          <w:sz w:val="24"/>
          <w:lang w:val="pl-PL"/>
        </w:rPr>
        <w:t>Art. 80.</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stycznia 2004 r. - Prawo zamówień publicznych (Dz. U. z 2017 r. poz. 1579 i 2018) w </w:t>
      </w:r>
      <w:r>
        <w:rPr>
          <w:rFonts w:ascii="Times New Roman"/>
          <w:b w:val="false"/>
          <w:i w:val="false"/>
          <w:color w:val="1b1b1b"/>
          <w:sz w:val="24"/>
          <w:lang w:val="pl-PL"/>
        </w:rPr>
        <w:t>art. 89</w:t>
      </w:r>
      <w:r>
        <w:rPr>
          <w:rFonts w:ascii="Times New Roman"/>
          <w:b w:val="false"/>
          <w:i w:val="false"/>
          <w:color w:val="000000"/>
          <w:sz w:val="24"/>
          <w:lang w:val="pl-PL"/>
        </w:rPr>
        <w:t xml:space="preserve"> w ust. 1 pkt 7d otrzymuje brzmienie: (zmiany pominięte).</w:t>
      </w:r>
    </w:p>
    <w:p>
      <w:pPr>
        <w:spacing w:before="80" w:after="0"/>
        <w:ind w:left="0"/>
        <w:jc w:val="left"/>
        <w:textAlignment w:val="auto"/>
      </w:pPr>
      <w:r>
        <w:rPr>
          <w:rFonts w:ascii="Times New Roman"/>
          <w:b/>
          <w:i w:val="false"/>
          <w:color w:val="000000"/>
          <w:sz w:val="24"/>
          <w:lang w:val="pl-PL"/>
        </w:rPr>
        <w:t>Art. 81.</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16 lipca 2004 r. - Prawo telekomunikacyjne (Dz. U. z 2017 r. poz. 1907 i 2201 oraz z 2018 r. poz. 106, 138, 650 i 1118) wprowadza się następujące zmiany: (zmiany pominięte).</w:t>
      </w:r>
    </w:p>
    <w:p>
      <w:pPr>
        <w:spacing w:before="80" w:after="0"/>
        <w:ind w:left="0"/>
        <w:jc w:val="left"/>
        <w:textAlignment w:val="auto"/>
      </w:pPr>
      <w:r>
        <w:rPr>
          <w:rFonts w:ascii="Times New Roman"/>
          <w:b/>
          <w:i w:val="false"/>
          <w:color w:val="000000"/>
          <w:sz w:val="24"/>
          <w:lang w:val="pl-PL"/>
        </w:rPr>
        <w:t>Art. 82.</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26 kwietnia 2007 r. o zarządzaniu kryzysowym (Dz. U. z 2018 r. poz. 1401) wprowadza się następujące zmiany: (zmiany pominięte).</w:t>
      </w:r>
    </w:p>
    <w:p>
      <w:pPr>
        <w:spacing w:before="80" w:after="0"/>
        <w:ind w:left="0"/>
        <w:jc w:val="left"/>
        <w:textAlignment w:val="auto"/>
      </w:pPr>
      <w:r>
        <w:rPr>
          <w:rFonts w:ascii="Times New Roman"/>
          <w:b/>
          <w:i w:val="false"/>
          <w:color w:val="000000"/>
          <w:sz w:val="24"/>
          <w:lang w:val="pl-PL"/>
        </w:rPr>
        <w:t xml:space="preserve"> Art. 83. </w:t>
      </w:r>
      <w:r>
        <w:rPr>
          <w:rFonts w:ascii="Times New Roman"/>
          <w:b/>
          <w:i w:val="false"/>
          <w:color w:val="000000"/>
          <w:sz w:val="24"/>
          <w:vertAlign w:val="superscript"/>
          <w:lang w:val="pl-PL"/>
        </w:rPr>
        <w:t>476</w:t>
      </w:r>
      <w:r>
        <w:rPr>
          <w:rFonts w:ascii="Times New Roman"/>
          <w:b/>
          <w:i w:val="false"/>
          <w:color w:val="000000"/>
          <w:sz w:val="24"/>
          <w:lang w:val="pl-PL"/>
        </w:rPr>
        <w:t xml:space="preserve"> </w:t>
      </w:r>
      <w:r>
        <w:rPr>
          <w:rFonts w:ascii="Times New Roman"/>
          <w:b/>
          <w:i w:val="false"/>
          <w:color w:val="000000"/>
          <w:sz w:val="24"/>
          <w:lang w:val="pl-PL"/>
        </w:rPr>
        <w:t>[Raport o zagrożeniach bezpieczeństwa narodowego]</w:t>
      </w:r>
    </w:p>
    <w:p>
      <w:pPr>
        <w:spacing w:after="0"/>
        <w:ind w:left="0"/>
        <w:jc w:val="left"/>
        <w:textAlignment w:val="auto"/>
      </w:pPr>
      <w:r>
        <w:rPr>
          <w:rFonts w:ascii="Times New Roman"/>
          <w:b w:val="false"/>
          <w:i w:val="false"/>
          <w:color w:val="000000"/>
          <w:sz w:val="24"/>
          <w:lang w:val="pl-PL"/>
        </w:rPr>
        <w:t>Cyberzagrożenia, mogące doprowadzić do sytuacji kryzysowej, po raz pierwszy zostaną ujęte w Raporcie o zagrożeniach bezpieczeństwa narodowego, który zostanie sporządzony z udziałem Pełnomocnika, po wejściu w życie ustawy.</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[Termin powołania Pełnomocnika Rządu do Spraw Cyberbezpieczeństwa]</w:t>
      </w:r>
    </w:p>
    <w:p>
      <w:pPr>
        <w:spacing w:after="0"/>
        <w:ind w:left="0"/>
        <w:jc w:val="left"/>
        <w:textAlignment w:val="auto"/>
      </w:pPr>
      <w:r>
        <w:rPr>
          <w:rFonts w:ascii="Times New Roman"/>
          <w:b w:val="false"/>
          <w:i w:val="false"/>
          <w:color w:val="000000"/>
          <w:sz w:val="24"/>
          <w:lang w:val="pl-PL"/>
        </w:rPr>
        <w:t>Prezes Rady Ministrów powoła Pełnomocnika w terminie 3 miesięcy od dnia wejścia w życie ustawy.</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[Informacje o właściwych organach oraz o zakresie zadań CSIRT przekazywane Komisji Europejskiej]</w:t>
      </w:r>
    </w:p>
    <w:p>
      <w:pPr>
        <w:spacing w:after="0"/>
        <w:ind w:left="0"/>
        <w:jc w:val="left"/>
        <w:textAlignment w:val="auto"/>
      </w:pPr>
      <w:r>
        <w:rPr>
          <w:rFonts w:ascii="Times New Roman"/>
          <w:b w:val="false"/>
          <w:i w:val="false"/>
          <w:color w:val="000000"/>
          <w:sz w:val="24"/>
          <w:lang w:val="pl-PL"/>
        </w:rPr>
        <w:t>Minister właściwy do spraw informatyzacji przekaże Komisji Europejskiej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wyznaczonych organach właściwych do spraw cyberbezpieczeństwa, Pojedynczym Punkcie Kontaktowym oraz o ich zadaniach;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zakresie zadań CSIRT MON, CSIRT NASK i CSIRT GOV, w tym o głównych elementach procedur postępowania w przypadku incydentu.</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[Termin wydania decyzji o uznaniu za operatora usługi kluczowej oraz przekazania wniosków o wpisanie operatorów usług kluczowych do wykazu]</w:t>
      </w:r>
    </w:p>
    <w:p>
      <w:pPr>
        <w:spacing w:after="0"/>
        <w:ind w:left="0"/>
        <w:jc w:val="left"/>
        <w:textAlignment w:val="auto"/>
      </w:pPr>
      <w:r>
        <w:rPr>
          <w:rFonts w:ascii="Times New Roman"/>
          <w:b w:val="false"/>
          <w:i w:val="false"/>
          <w:color w:val="000000"/>
          <w:sz w:val="24"/>
          <w:lang w:val="pl-PL"/>
        </w:rPr>
        <w:t xml:space="preserve">Organy właściwe do spraw cyberbezpieczeństwa w terminie do dnia 9 listopada 2018 r. wydadzą decyzje o uznaniu za operatora usługi kluczowej oraz przekażą ministrowi właściwemu do spraw informatyzacji wnioski o wpisanie operatorów usług kluczowych do wykazu, o którym mowa w </w:t>
      </w:r>
      <w:r>
        <w:rPr>
          <w:rFonts w:ascii="Times New Roman"/>
          <w:b w:val="false"/>
          <w:i w:val="false"/>
          <w:color w:val="1b1b1b"/>
          <w:sz w:val="24"/>
          <w:lang w:val="pl-PL"/>
        </w:rPr>
        <w:t>art. 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[Sprawozdanie podsumowujące przekazywane Grupie Współpracy]</w:t>
      </w:r>
    </w:p>
    <w:p>
      <w:pPr>
        <w:spacing w:after="0"/>
        <w:ind w:left="0"/>
        <w:jc w:val="left"/>
        <w:textAlignment w:val="auto"/>
      </w:pPr>
      <w:r>
        <w:rPr>
          <w:rFonts w:ascii="Times New Roman"/>
          <w:b w:val="false"/>
          <w:i w:val="false"/>
          <w:color w:val="000000"/>
          <w:sz w:val="24"/>
          <w:lang w:val="pl-PL"/>
        </w:rPr>
        <w:t>Minister właściwy do spraw informatyzacji w terminie do dnia 9 sierpnia 2018 r. przekaże Grupie Współpracy sprawozdanie podsumowujące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incydentach poważnych zgłaszanych przez operatorów usług kluczowych, mających wpływ na ciągłość świadczenia przez nich usług kluczowych w Rzeczypospolitej Polskiej oraz ciągłość świadczenia usług kluczowych w państwach członkowskich Unii Europejskiej;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zgłaszanych przez dostawców usług cyfrowych incydentach istotnych, w tym dotyczących dwóch lub większej liczby państw członkowskich Unii Europejskiej.</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[Informacje o operatorach usług kluczowych przekazywane Komisji Europejskiej ]</w:t>
      </w:r>
    </w:p>
    <w:p>
      <w:pPr>
        <w:spacing w:after="0"/>
        <w:ind w:left="0"/>
        <w:jc w:val="left"/>
        <w:textAlignment w:val="auto"/>
      </w:pPr>
      <w:r>
        <w:rPr>
          <w:rFonts w:ascii="Times New Roman"/>
          <w:b w:val="false"/>
          <w:i w:val="false"/>
          <w:color w:val="000000"/>
          <w:sz w:val="24"/>
          <w:lang w:val="pl-PL"/>
        </w:rPr>
        <w:t>Minister właściwy do spraw informatyzacji w terminie do dnia 9 listopada 2018 r. przekaże Komisji Europejskiej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krajowych środkach umożliwiających identyfikację operatorów usług kluczowych;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wykazie usług kluczowych;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liczbie zidentyfikowanych operatorów usług kluczowych w każdym z sektorów, o którym mowa w </w:t>
      </w:r>
      <w:r>
        <w:rPr>
          <w:rFonts w:ascii="Times New Roman"/>
          <w:b w:val="false"/>
          <w:i w:val="false"/>
          <w:color w:val="1b1b1b"/>
          <w:sz w:val="24"/>
          <w:lang w:val="pl-PL"/>
        </w:rPr>
        <w:t>załączniku nr 1</w:t>
      </w:r>
      <w:r>
        <w:rPr>
          <w:rFonts w:ascii="Times New Roman"/>
          <w:b w:val="false"/>
          <w:i w:val="false"/>
          <w:color w:val="000000"/>
          <w:sz w:val="24"/>
          <w:lang w:val="pl-PL"/>
        </w:rPr>
        <w:t xml:space="preserve"> do ustawy, ze wskazaniem ich znaczenia w odniesieniu do tego sektora;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progach istotności skutku zakłócającego dla świadczonej usługi kluczowej branych pod uwagę przy kwalifikowaniu podmiotów jako operatorów usług kluczowych.</w:t>
      </w: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[Termin uruchomienia systemu teleinformatycznego]</w:t>
      </w:r>
    </w:p>
    <w:p>
      <w:pPr>
        <w:spacing w:after="0"/>
        <w:ind w:left="0"/>
        <w:jc w:val="left"/>
        <w:textAlignment w:val="auto"/>
      </w:pPr>
      <w:r>
        <w:rPr>
          <w:rFonts w:ascii="Times New Roman"/>
          <w:b w:val="false"/>
          <w:i w:val="false"/>
          <w:color w:val="000000"/>
          <w:sz w:val="24"/>
          <w:lang w:val="pl-PL"/>
        </w:rPr>
        <w:t xml:space="preserve">Minister właściwy do spraw informatyzacji uruchomi system teleinformatyczny, o którym mowa w </w:t>
      </w:r>
      <w:r>
        <w:rPr>
          <w:rFonts w:ascii="Times New Roman"/>
          <w:b w:val="false"/>
          <w:i w:val="false"/>
          <w:color w:val="1b1b1b"/>
          <w:sz w:val="24"/>
          <w:lang w:val="pl-PL"/>
        </w:rPr>
        <w:t>art. 46 ust. 1</w:t>
      </w:r>
      <w:r>
        <w:rPr>
          <w:rFonts w:ascii="Times New Roman"/>
          <w:b w:val="false"/>
          <w:i w:val="false"/>
          <w:color w:val="000000"/>
          <w:sz w:val="24"/>
          <w:lang w:val="pl-PL"/>
        </w:rPr>
        <w:t>, do dnia 1 stycznia 2021 r.</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[Termin przyjęcia Strategii Cyberbezpieczeństwa Rzeczypospolitej Polskiej]</w:t>
      </w:r>
    </w:p>
    <w:p>
      <w:pPr>
        <w:spacing w:after="0"/>
        <w:ind w:left="0"/>
        <w:jc w:val="left"/>
        <w:textAlignment w:val="auto"/>
      </w:pPr>
      <w:r>
        <w:rPr>
          <w:rFonts w:ascii="Times New Roman"/>
          <w:b w:val="false"/>
          <w:i w:val="false"/>
          <w:color w:val="000000"/>
          <w:sz w:val="24"/>
          <w:lang w:val="pl-PL"/>
        </w:rPr>
        <w:t>Strategia zostanie przyjęta do dnia 31 października 2019 r.</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[Opracowanie pierwszego rocznego planu wdrożenia systemu wczesnego ostrzegania o zagrożeniach występujących w sieci Internet]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Roczny plan wdrożenia, o którym mowa w art. 32aa ust. 2 ustawy zmienianej w </w:t>
      </w:r>
      <w:r>
        <w:rPr>
          <w:rFonts w:ascii="Times New Roman"/>
          <w:b w:val="false"/>
          <w:i w:val="false"/>
          <w:color w:val="1b1b1b"/>
          <w:sz w:val="24"/>
          <w:lang w:val="pl-PL"/>
        </w:rPr>
        <w:t>art. 79</w:t>
      </w:r>
      <w:r>
        <w:rPr>
          <w:rFonts w:ascii="Times New Roman"/>
          <w:b w:val="false"/>
          <w:i w:val="false"/>
          <w:color w:val="000000"/>
          <w:sz w:val="24"/>
          <w:lang w:val="pl-PL"/>
        </w:rPr>
        <w:t>, Szef Agencji Bezpieczeństwa Wewnętrznego opracuje po raz pierwszy na rok 2019.</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który do dnia wejścia w życie ustawy przystąpił do realizowanego przez Agencję Bezpieczeństwa Wewnętrznego programu ARAKIS-GOV, uznaje się za podmiot, który przystąpił do systemu ostrzegania, w rozumieniu art. 32aa ust. 4 ustawy zmienianej w </w:t>
      </w:r>
      <w:r>
        <w:rPr>
          <w:rFonts w:ascii="Times New Roman"/>
          <w:b w:val="false"/>
          <w:i w:val="false"/>
          <w:color w:val="1b1b1b"/>
          <w:sz w:val="24"/>
          <w:lang w:val="pl-PL"/>
        </w:rPr>
        <w:t>art. 79</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który do dnia wejścia w życie ustawy nie dokonał pełnego wdrożenia elementów systemu ostrzegania, w rozumieniu art. 32aa ust. 4 ustawy zmienianej w </w:t>
      </w:r>
      <w:r>
        <w:rPr>
          <w:rFonts w:ascii="Times New Roman"/>
          <w:b w:val="false"/>
          <w:i w:val="false"/>
          <w:color w:val="1b1b1b"/>
          <w:sz w:val="24"/>
          <w:lang w:val="pl-PL"/>
        </w:rPr>
        <w:t>art. 79</w:t>
      </w:r>
      <w:r>
        <w:rPr>
          <w:rFonts w:ascii="Times New Roman"/>
          <w:b w:val="false"/>
          <w:i w:val="false"/>
          <w:color w:val="000000"/>
          <w:sz w:val="24"/>
          <w:lang w:val="pl-PL"/>
        </w:rPr>
        <w:t xml:space="preserve"> obowiązany jest do ich uzupełnienia w terminie roku od dnia wejścia w życie ustawy.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Zawarte przed dniem wejścia w życie ustawy porozumienia w sprawie udziału w programie ARAKIS-GOV uznaje się za porozumienia, o których mowa w art. 32aa ust. 7 ustawy zmienianej w </w:t>
      </w:r>
      <w:r>
        <w:rPr>
          <w:rFonts w:ascii="Times New Roman"/>
          <w:b w:val="false"/>
          <w:i w:val="false"/>
          <w:color w:val="1b1b1b"/>
          <w:sz w:val="24"/>
          <w:lang w:val="pl-PL"/>
        </w:rPr>
        <w:t>art. 79</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[Utrzymanie w mocy przepisów wykonawczych]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 przepisy wykonawcze wydane na podstawie art. 90u ust. 4 pkt 6 ustawy zmienianej w </w:t>
      </w:r>
      <w:r>
        <w:rPr>
          <w:rFonts w:ascii="Times New Roman"/>
          <w:b w:val="false"/>
          <w:i w:val="false"/>
          <w:color w:val="1b1b1b"/>
          <w:sz w:val="24"/>
          <w:lang w:val="pl-PL"/>
        </w:rPr>
        <w:t>art. 77</w:t>
      </w:r>
      <w:r>
        <w:rPr>
          <w:rFonts w:ascii="Times New Roman"/>
          <w:b w:val="false"/>
          <w:i w:val="false"/>
          <w:color w:val="000000"/>
          <w:sz w:val="24"/>
          <w:lang w:val="pl-PL"/>
        </w:rPr>
        <w:t xml:space="preserve"> dotyczące realizacji danego programu rządowego przyjętego na podstawie art. 90u ust. 1 pkt 6 ustawy zmienianej w art. 77, zachowują moc do dnia wejścia w życie przepisów wykonawczych wydanych na podstawie art. 90u ust. 4 pkt 6 ustawy zmienianej w </w:t>
      </w:r>
      <w:r>
        <w:rPr>
          <w:rFonts w:ascii="Times New Roman"/>
          <w:b w:val="false"/>
          <w:i w:val="false"/>
          <w:color w:val="1b1b1b"/>
          <w:sz w:val="24"/>
          <w:lang w:val="pl-PL"/>
        </w:rPr>
        <w:t>art. 77</w:t>
      </w:r>
      <w:r>
        <w:rPr>
          <w:rFonts w:ascii="Times New Roman"/>
          <w:b w:val="false"/>
          <w:i w:val="false"/>
          <w:color w:val="000000"/>
          <w:sz w:val="24"/>
          <w:lang w:val="pl-PL"/>
        </w:rPr>
        <w:t xml:space="preserve"> w brzmieniu nadanym niniejszą ustawą, dotyczących realizacji tego programu rządowego, nie dłużej jednak niż do dnia 31 marca 2021 r., i mogą być zmieniane.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 przepisy wykonawcze, wydane na podstawie art. 176a ust. 5 ustawy zmienianej w </w:t>
      </w:r>
      <w:r>
        <w:rPr>
          <w:rFonts w:ascii="Times New Roman"/>
          <w:b w:val="false"/>
          <w:i w:val="false"/>
          <w:color w:val="1b1b1b"/>
          <w:sz w:val="24"/>
          <w:lang w:val="pl-PL"/>
        </w:rPr>
        <w:t>art. 81</w:t>
      </w:r>
      <w:r>
        <w:rPr>
          <w:rFonts w:ascii="Times New Roman"/>
          <w:b w:val="false"/>
          <w:i w:val="false"/>
          <w:color w:val="000000"/>
          <w:sz w:val="24"/>
          <w:lang w:val="pl-PL"/>
        </w:rPr>
        <w:t xml:space="preserve">, zachowują moc do dnia wejścia w życie nowych przepisów wykonawczych wydanych na podstawie art. 176a ust. 5 ustawy zmienianej w </w:t>
      </w:r>
      <w:r>
        <w:rPr>
          <w:rFonts w:ascii="Times New Roman"/>
          <w:b w:val="false"/>
          <w:i w:val="false"/>
          <w:color w:val="1b1b1b"/>
          <w:sz w:val="24"/>
          <w:lang w:val="pl-PL"/>
        </w:rPr>
        <w:t>art. 81</w:t>
      </w:r>
      <w:r>
        <w:rPr>
          <w:rFonts w:ascii="Times New Roman"/>
          <w:b w:val="false"/>
          <w:i w:val="false"/>
          <w:color w:val="000000"/>
          <w:sz w:val="24"/>
          <w:lang w:val="pl-PL"/>
        </w:rPr>
        <w:t>, jednak nie dłużej niż przez 24 miesiące od dnia wejścia w życie niniejszej ustawy.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 przepisy wykonawcze, wydane na podstawie art. 5a ust. 6 ustawy zmienianej w </w:t>
      </w:r>
      <w:r>
        <w:rPr>
          <w:rFonts w:ascii="Times New Roman"/>
          <w:b w:val="false"/>
          <w:i w:val="false"/>
          <w:color w:val="1b1b1b"/>
          <w:sz w:val="24"/>
          <w:lang w:val="pl-PL"/>
        </w:rPr>
        <w:t>art. 82</w:t>
      </w:r>
      <w:r>
        <w:rPr>
          <w:rFonts w:ascii="Times New Roman"/>
          <w:b w:val="false"/>
          <w:i w:val="false"/>
          <w:color w:val="000000"/>
          <w:sz w:val="24"/>
          <w:lang w:val="pl-PL"/>
        </w:rPr>
        <w:t xml:space="preserve">, zachowują moc do dnia wejścia w życie nowych przepisów wykonawczych wydanych na podstawie art. 5a ust. 6 ustawy zmienianej w </w:t>
      </w:r>
      <w:r>
        <w:rPr>
          <w:rFonts w:ascii="Times New Roman"/>
          <w:b w:val="false"/>
          <w:i w:val="false"/>
          <w:color w:val="1b1b1b"/>
          <w:sz w:val="24"/>
          <w:lang w:val="pl-PL"/>
        </w:rPr>
        <w:t>art. 82</w:t>
      </w:r>
      <w:r>
        <w:rPr>
          <w:rFonts w:ascii="Times New Roman"/>
          <w:b w:val="false"/>
          <w:i w:val="false"/>
          <w:color w:val="000000"/>
          <w:sz w:val="24"/>
          <w:lang w:val="pl-PL"/>
        </w:rPr>
        <w:t>, jednak nie dłużej niż przez 12 miesięcy od dnia wejścia w życie niniejszej ustawy.</w:t>
      </w:r>
    </w:p>
    <w:p>
      <w:pPr>
        <w:spacing w:before="80" w:after="0"/>
        <w:ind w:left="0"/>
        <w:jc w:val="left"/>
        <w:textAlignment w:val="auto"/>
      </w:pPr>
      <w:r>
        <w:rPr>
          <w:rFonts w:ascii="Times New Roman"/>
          <w:b/>
          <w:i w:val="false"/>
          <w:color w:val="000000"/>
          <w:sz w:val="24"/>
          <w:lang w:val="pl-PL"/>
        </w:rPr>
        <w:t xml:space="preserve"> Art. 93.</w:t>
      </w:r>
      <w:r>
        <w:rPr>
          <w:rFonts w:ascii="Times New Roman"/>
          <w:b/>
          <w:i w:val="false"/>
          <w:color w:val="000000"/>
          <w:sz w:val="24"/>
          <w:lang w:val="pl-PL"/>
        </w:rPr>
        <w:t xml:space="preserve"> [Maksymalne limity wydatków z budżetu państwa]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21 - Gospodarka morska,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- 388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- 404 tys. zł;</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- 404 tys. zł.</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22 - Gospodarka wodna,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- 388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- 404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- 404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- 404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- 404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- 404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- 404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- 404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- 404 tys. zł.</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27 - Informatyzacja,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- 6450 tys.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- 13 349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- 17 334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- 17 314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- 27 404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- 50 335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- 50 335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- 80 300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- 91 400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- 50 335 tys. zł.</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39 - Transport,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- 388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- 404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- 404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- 404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- 404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- 404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- 404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- 404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- 404 tys. zł.</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46 - Zdrowie,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- 388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- 404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- 404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- 404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- 404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- 404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- 404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- 404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- 404 tys. zł.</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47 - Energia,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- 758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- 789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- 789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- 789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- 789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- 789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- 789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- 789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- 789 tys. zł.</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57 - Agencja Bezpieczeństwa Wewnętrznego,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- 255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- 3605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- 5605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- 5605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- 9705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- 705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- 705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- 705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- 8705 tys. zł.</w:t>
      </w:r>
    </w:p>
    <w:p>
      <w:pPr>
        <w:spacing w:before="26"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477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76 - Urząd Komunikacji Elektronicznej,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- 0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- 203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- 212 tys.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- 212 tys.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- 212 tys.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- 212 tys.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- 212 tys.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- 212 tys.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- 212 tys.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- 212 tys. zł.</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Maksymalny limit wydatków z budżetu państwa dla części budżetowej 42 - Sprawy wewnętrzne, będący skutkiem finansowym wejścia w życie niniejszej ustawy,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2018 r. - 242 tys. zł;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2019 r. - 360 tys. zł;</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2020 r. - 0 zł;</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2021 r. - 0 zł;</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2022 r. - 0 zł;</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2023 r. - 0 zł;</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2024 r. - 0 zł;</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2025 r. - 0 zł;</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2026 r. - 0 zł;</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2027 r. - 0 zł.</w:t>
      </w:r>
    </w:p>
    <w:p>
      <w:pPr>
        <w:spacing w:before="26" w:after="0"/>
        <w:ind w:left="0"/>
        <w:jc w:val="left"/>
        <w:textAlignment w:val="auto"/>
      </w:pPr>
      <w:r>
        <w:rPr>
          <w:rFonts w:ascii="Times New Roman"/>
          <w:b w:val="false"/>
          <w:i w:val="false"/>
          <w:color w:val="000000"/>
          <w:sz w:val="24"/>
          <w:lang w:val="pl-PL"/>
        </w:rPr>
        <w:t xml:space="preserve">11. </w:t>
      </w:r>
      <w:r>
        <w:rPr>
          <w:rFonts w:ascii="Times New Roman"/>
          <w:b w:val="false"/>
          <w:i w:val="false"/>
          <w:color w:val="000000"/>
          <w:sz w:val="24"/>
          <w:vertAlign w:val="superscript"/>
          <w:lang w:val="pl-PL"/>
        </w:rPr>
        <w:t>478</w:t>
      </w:r>
      <w:r>
        <w:rPr>
          <w:rFonts w:ascii="Times New Roman"/>
          <w:b w:val="false"/>
          <w:i w:val="false"/>
          <w:color w:val="000000"/>
          <w:sz w:val="24"/>
          <w:lang w:val="pl-PL"/>
        </w:rPr>
        <w:t xml:space="preserve"> </w:t>
      </w:r>
      <w:r>
        <w:rPr>
          <w:rFonts w:ascii="Times New Roman"/>
          <w:b w:val="false"/>
          <w:i w:val="false"/>
          <w:color w:val="000000"/>
          <w:sz w:val="24"/>
          <w:lang w:val="pl-PL"/>
        </w:rPr>
        <w:t>W przypadku zagrożenia przekroczenia lub przekroczenia przyjętych nadany rok budżetowy maksymalnych limitów wydatków, o których mowa w ust. 1-6, zostaną zastosowane mechanizmy korygujące polegające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ograniczeniu wydatków związanych z realizacją zadań organu właściwego do spraw cyberbezpieczeństwa w zakresie identyfikacji podmiotów kluczowych i podmiotów ważnych oraz prowadzenia bieżącej analizy podmiotów w danym sektorze pod kątem uznania ich za operatora usługi kluczowej lub niespełniania warunków kwalifikujących podmiot jako operatora usługi kluczowej;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zmniejszeniu liczby kontroli u podmiotów kluczowych lub podmiotów ważnych;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rezygnacji z organizowania albo uczestnictwa w ćwiczeniach w zakresie cyberbezpieczeństwa organizowanych w Rzeczypospolitej Polskiej lub w Unii Europejskiej;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ograniczeniu finansowania działalności sektorowego zespołu cyberbezpieczeństwa powołanego przez dany organ właściwy do spraw cyberbezpieczeństwa.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zagrożenia przekroczenia lub przekroczenia przyjętego na dany rok budżetowy maksymalnego limitu wydatków, o którym mowa w </w:t>
      </w:r>
      <w:r>
        <w:rPr>
          <w:rFonts w:ascii="Times New Roman"/>
          <w:b w:val="false"/>
          <w:i w:val="false"/>
          <w:color w:val="1b1b1b"/>
          <w:sz w:val="24"/>
          <w:lang w:val="pl-PL"/>
        </w:rPr>
        <w:t>ust. 7</w:t>
      </w:r>
      <w:r>
        <w:rPr>
          <w:rFonts w:ascii="Times New Roman"/>
          <w:b w:val="false"/>
          <w:i w:val="false"/>
          <w:color w:val="000000"/>
          <w:sz w:val="24"/>
          <w:lang w:val="pl-PL"/>
        </w:rPr>
        <w:t>, zostanie zastosowany mechanizm korygujący polegający na ograniczeniu liczby podmiotów wdrażających system wczesnego ostrzegania o zagrożeniach występujących w sieci Internet, wskazanych w rocznym planie wdrożenia, opracowywanym przez Szefa Agencji Bezpieczeństwa Wewnętrznego.</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zagrożenia przekroczenia lub przekroczenia przyjętego na dany rok budżetowy maksymalnego limitu wydatków, o którym mowa w </w:t>
      </w:r>
      <w:r>
        <w:rPr>
          <w:rFonts w:ascii="Times New Roman"/>
          <w:b w:val="false"/>
          <w:i w:val="false"/>
          <w:color w:val="1b1b1b"/>
          <w:sz w:val="24"/>
          <w:lang w:val="pl-PL"/>
        </w:rPr>
        <w:t>ust. 9</w:t>
      </w:r>
      <w:r>
        <w:rPr>
          <w:rFonts w:ascii="Times New Roman"/>
          <w:b w:val="false"/>
          <w:i w:val="false"/>
          <w:color w:val="000000"/>
          <w:sz w:val="24"/>
          <w:lang w:val="pl-PL"/>
        </w:rPr>
        <w:t>, zostanie zastosowany mechanizm korygujący polegający na ograniczeniu wydatków związanych z realizacją zadań ustawowych dotyczących obsługi incydentów.</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zagrożenia przekroczenia lub przekroczenia przyjętego na dany rok budżetowy maksymalnego limitu wydatków, o którym mowa w </w:t>
      </w:r>
      <w:r>
        <w:rPr>
          <w:rFonts w:ascii="Times New Roman"/>
          <w:b w:val="false"/>
          <w:i w:val="false"/>
          <w:color w:val="1b1b1b"/>
          <w:sz w:val="24"/>
          <w:lang w:val="pl-PL"/>
        </w:rPr>
        <w:t>ust. 10</w:t>
      </w:r>
      <w:r>
        <w:rPr>
          <w:rFonts w:ascii="Times New Roman"/>
          <w:b w:val="false"/>
          <w:i w:val="false"/>
          <w:color w:val="000000"/>
          <w:sz w:val="24"/>
          <w:lang w:val="pl-PL"/>
        </w:rPr>
        <w:t>, zostanie zastosowany mechanizm korygujący polegający na ograniczeniu wydatków związanych z zapewnieniem wyposażenia niezbędnego do obsługi Zespołu.</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wielkość wydatków w poszczególnych miesiącach zgodna jest z planem finansowym, przepisów </w:t>
      </w:r>
      <w:r>
        <w:rPr>
          <w:rFonts w:ascii="Times New Roman"/>
          <w:b w:val="false"/>
          <w:i w:val="false"/>
          <w:color w:val="1b1b1b"/>
          <w:sz w:val="24"/>
          <w:lang w:val="pl-PL"/>
        </w:rPr>
        <w:t>ust. 11-14</w:t>
      </w:r>
      <w:r>
        <w:rPr>
          <w:rFonts w:ascii="Times New Roman"/>
          <w:b w:val="false"/>
          <w:i w:val="false"/>
          <w:color w:val="000000"/>
          <w:sz w:val="24"/>
          <w:lang w:val="pl-PL"/>
        </w:rPr>
        <w:t xml:space="preserve"> nie stosuje się.</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gospodarki morskiej monitoruje wykorzystanie limitu wydatków,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gospodarki morskiej.</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gospodarki wodnej monitoruje wykorzystanie limitu wydatków,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gospodarki wodnej.</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informatyzacji monitoruje wykorzystanie limitu wydatków,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informatyzacji.</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transportu monitoruje wykorzystanie limitu wydatków,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transportu.</w:t>
      </w:r>
    </w:p>
    <w:p>
      <w:pPr>
        <w:spacing w:before="26" w:after="0"/>
        <w:ind w:left="0"/>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ochrony zdrowia monitoruje wykorzystanie limitu wydatków,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ochrony zdrowia.</w:t>
      </w:r>
    </w:p>
    <w:p>
      <w:pPr>
        <w:spacing w:before="26" w:after="0"/>
        <w:ind w:left="0"/>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energii monitoruje wykorzystanie limitu wydatków,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mechanizmów korygujących, o których mowa w </w:t>
      </w:r>
      <w:r>
        <w:rPr>
          <w:rFonts w:ascii="Times New Roman"/>
          <w:b w:val="false"/>
          <w:i w:val="false"/>
          <w:color w:val="1b1b1b"/>
          <w:sz w:val="24"/>
          <w:lang w:val="pl-PL"/>
        </w:rPr>
        <w:t>ust. 11</w:t>
      </w:r>
      <w:r>
        <w:rPr>
          <w:rFonts w:ascii="Times New Roman"/>
          <w:b w:val="false"/>
          <w:i w:val="false"/>
          <w:color w:val="000000"/>
          <w:sz w:val="24"/>
          <w:lang w:val="pl-PL"/>
        </w:rPr>
        <w:t>, dokonuje minister właściwy do spraw energii.</w:t>
      </w:r>
    </w:p>
    <w:p>
      <w:pPr>
        <w:spacing w:before="26" w:after="0"/>
        <w:ind w:left="0"/>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Szef Agencji Bezpieczeństwa Wewnętrznego monitoruje wykorzystanie limitu wydatków, o którym mowa w </w:t>
      </w:r>
      <w:r>
        <w:rPr>
          <w:rFonts w:ascii="Times New Roman"/>
          <w:b w:val="false"/>
          <w:i w:val="false"/>
          <w:color w:val="1b1b1b"/>
          <w:sz w:val="24"/>
          <w:lang w:val="pl-PL"/>
        </w:rPr>
        <w:t>ust. 7</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mechanizmu korygującego, o którym mowa w </w:t>
      </w:r>
      <w:r>
        <w:rPr>
          <w:rFonts w:ascii="Times New Roman"/>
          <w:b w:val="false"/>
          <w:i w:val="false"/>
          <w:color w:val="1b1b1b"/>
          <w:sz w:val="24"/>
          <w:lang w:val="pl-PL"/>
        </w:rPr>
        <w:t>ust. 12</w:t>
      </w:r>
      <w:r>
        <w:rPr>
          <w:rFonts w:ascii="Times New Roman"/>
          <w:b w:val="false"/>
          <w:i w:val="false"/>
          <w:color w:val="000000"/>
          <w:sz w:val="24"/>
          <w:lang w:val="pl-PL"/>
        </w:rPr>
        <w:t>, dokonuje Szef Agencji Bezpieczeństwa Wewnętrznego.</w:t>
      </w:r>
    </w:p>
    <w:p>
      <w:pPr>
        <w:spacing w:before="26" w:after="0"/>
        <w:ind w:left="0"/>
        <w:jc w:val="left"/>
        <w:textAlignment w:val="auto"/>
      </w:pPr>
      <w:r>
        <w:rPr>
          <w:rFonts w:ascii="Times New Roman"/>
          <w:b w:val="false"/>
          <w:i w:val="false"/>
          <w:color w:val="000000"/>
          <w:sz w:val="24"/>
          <w:lang w:val="pl-PL"/>
        </w:rPr>
        <w:t xml:space="preserve">23. </w:t>
      </w:r>
      <w:r>
        <w:rPr>
          <w:rFonts w:ascii="Times New Roman"/>
          <w:b w:val="false"/>
          <w:i w:val="false"/>
          <w:color w:val="000000"/>
          <w:sz w:val="24"/>
          <w:vertAlign w:val="superscript"/>
          <w:lang w:val="pl-PL"/>
        </w:rPr>
        <w:t>479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Prezes Urzędu Komunikacji Elektronicznej monitoruje wykorzystanie limitu wydatków, o którym mowa w </w:t>
      </w:r>
      <w:r>
        <w:rPr>
          <w:rFonts w:ascii="Times New Roman"/>
          <w:b w:val="false"/>
          <w:i w:val="false"/>
          <w:color w:val="1b1b1b"/>
          <w:sz w:val="24"/>
          <w:lang w:val="pl-PL"/>
        </w:rPr>
        <w:t>ust. 9</w:t>
      </w:r>
      <w:r>
        <w:rPr>
          <w:rFonts w:ascii="Times New Roman"/>
          <w:b w:val="false"/>
          <w:i w:val="false"/>
          <w:color w:val="000000"/>
          <w:sz w:val="24"/>
          <w:lang w:val="pl-PL"/>
        </w:rPr>
        <w:t xml:space="preserve">, i przynajmniej cztery razy do roku dokonuje, według stanu na koniec każdego kwartału, oceny wykorzystania limitu wydatków na dany rok. Wdrożenia mechanizmu korygującego, o którym mowa w </w:t>
      </w:r>
      <w:r>
        <w:rPr>
          <w:rFonts w:ascii="Times New Roman"/>
          <w:b w:val="false"/>
          <w:i w:val="false"/>
          <w:color w:val="1b1b1b"/>
          <w:sz w:val="24"/>
          <w:lang w:val="pl-PL"/>
        </w:rPr>
        <w:t>ust. 13</w:t>
      </w:r>
      <w:r>
        <w:rPr>
          <w:rFonts w:ascii="Times New Roman"/>
          <w:b w:val="false"/>
          <w:i w:val="false"/>
          <w:color w:val="000000"/>
          <w:sz w:val="24"/>
          <w:lang w:val="pl-PL"/>
        </w:rPr>
        <w:t>, dokonuje Prezes Urzędu Komunikacji Elektronicznej.</w:t>
      </w:r>
    </w:p>
    <w:p>
      <w:pPr>
        <w:spacing w:before="26" w:after="0"/>
        <w:ind w:left="0"/>
        <w:jc w:val="left"/>
        <w:textAlignment w:val="auto"/>
      </w:pPr>
      <w:r>
        <w:rPr>
          <w:rFonts w:ascii="Times New Roman"/>
          <w:b w:val="false"/>
          <w:i w:val="false"/>
          <w:color w:val="000000"/>
          <w:sz w:val="24"/>
          <w:lang w:val="pl-PL"/>
        </w:rPr>
        <w:t>25.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monitoruje wykorzystanie limitu wydatków, o którym mowa w </w:t>
      </w:r>
      <w:r>
        <w:rPr>
          <w:rFonts w:ascii="Times New Roman"/>
          <w:b w:val="false"/>
          <w:i w:val="false"/>
          <w:color w:val="1b1b1b"/>
          <w:sz w:val="24"/>
          <w:lang w:val="pl-PL"/>
        </w:rPr>
        <w:t>ust. 10</w:t>
      </w:r>
      <w:r>
        <w:rPr>
          <w:rFonts w:ascii="Times New Roman"/>
          <w:b w:val="false"/>
          <w:i w:val="false"/>
          <w:color w:val="000000"/>
          <w:sz w:val="24"/>
          <w:lang w:val="pl-PL"/>
        </w:rPr>
        <w:t xml:space="preserve">, i dokonuje oceny jego wykorzystania. Wdrożenia mechanizmu korygującego, o którym mowa w </w:t>
      </w:r>
      <w:r>
        <w:rPr>
          <w:rFonts w:ascii="Times New Roman"/>
          <w:b w:val="false"/>
          <w:i w:val="false"/>
          <w:color w:val="1b1b1b"/>
          <w:sz w:val="24"/>
          <w:lang w:val="pl-PL"/>
        </w:rPr>
        <w:t>ust. 14</w:t>
      </w:r>
      <w:r>
        <w:rPr>
          <w:rFonts w:ascii="Times New Roman"/>
          <w:b w:val="false"/>
          <w:i w:val="false"/>
          <w:color w:val="000000"/>
          <w:sz w:val="24"/>
          <w:lang w:val="pl-PL"/>
        </w:rPr>
        <w:t>, dokonuje minister właściwy do spraw wewnętrznych.</w:t>
      </w:r>
    </w:p>
    <w:p>
      <w:pPr>
        <w:spacing w:before="80" w:after="0"/>
        <w:ind w:left="0"/>
        <w:jc w:val="left"/>
        <w:textAlignment w:val="auto"/>
      </w:pPr>
      <w:r>
        <w:rPr>
          <w:rFonts w:ascii="Times New Roman"/>
          <w:b/>
          <w:i w:val="false"/>
          <w:color w:val="000000"/>
          <w:sz w:val="24"/>
          <w:lang w:val="pl-PL"/>
        </w:rPr>
        <w:t xml:space="preserve"> Art. 94.</w:t>
      </w:r>
      <w:r>
        <w:rPr>
          <w:rFonts w:ascii="Times New Roman"/>
          <w:b/>
          <w:i w:val="false"/>
          <w:color w:val="000000"/>
          <w:sz w:val="24"/>
          <w:lang w:val="pl-PL"/>
        </w:rPr>
        <w:t xml:space="preserve"> [Wejście w życie]</w:t>
      </w:r>
    </w:p>
    <w:p>
      <w:pPr>
        <w:spacing w:after="0"/>
        <w:ind w:left="0"/>
        <w:jc w:val="left"/>
        <w:textAlignment w:val="auto"/>
      </w:pPr>
      <w:r>
        <w:rPr>
          <w:rFonts w:ascii="Times New Roman"/>
          <w:b w:val="false"/>
          <w:i w:val="false"/>
          <w:color w:val="000000"/>
          <w:sz w:val="24"/>
          <w:lang w:val="pl-PL"/>
        </w:rPr>
        <w:t>Ustawa wchodzi w życie po upływie 14 dni od dnia ogłoszenia.</w:t>
      </w:r>
    </w:p>
    <w:p>
      <w:pPr>
        <w:spacing w:before="89" w:after="0"/>
        <w:ind w:left="0"/>
        <w:jc w:val="center"/>
        <w:textAlignment w:val="auto"/>
      </w:pPr>
      <w:r>
        <w:rPr>
          <w:rFonts w:ascii="Times New Roman"/>
          <w:b/>
          <w:i w:val="false"/>
          <w:color w:val="000000"/>
          <w:sz w:val="24"/>
          <w:lang w:val="pl-PL"/>
        </w:rPr>
        <w:t xml:space="preserve">ZAŁĄCZNIK Nr 1 </w:t>
      </w:r>
      <w:r>
        <w:rPr>
          <w:rFonts w:ascii="Times New Roman"/>
          <w:b/>
          <w:i w:val="false"/>
          <w:color w:val="000000"/>
          <w:sz w:val="24"/>
          <w:vertAlign w:val="superscript"/>
          <w:lang w:val="pl-PL"/>
        </w:rPr>
        <w:t>480</w:t>
      </w:r>
    </w:p>
    <w:p>
      <w:pPr>
        <w:spacing w:before="25" w:after="0"/>
        <w:ind w:left="0"/>
        <w:jc w:val="center"/>
        <w:textAlignment w:val="auto"/>
      </w:pPr>
      <w:r>
        <w:rPr>
          <w:rFonts w:ascii="Times New Roman"/>
          <w:b/>
          <w:i w:val="false"/>
          <w:color w:val="000000"/>
          <w:sz w:val="24"/>
          <w:lang w:val="pl-PL"/>
        </w:rPr>
        <w:t>SEKTORY KLUCZOWE</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2015"/>
        <w:gridCol w:w="1927"/>
        <w:gridCol w:w="11823"/>
      </w:tblGrid>
      <w:tr>
        <w:trPr>
          <w:trHeight w:val="45" w:hRule="atLeast"/>
        </w:trPr>
        <w:tc>
          <w:tcPr>
            <w:tcW w:w="201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w:t>
            </w:r>
          </w:p>
        </w:tc>
        <w:tc>
          <w:tcPr>
            <w:tcW w:w="192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II</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III</w:t>
            </w:r>
          </w:p>
        </w:tc>
      </w:tr>
      <w:tr>
        <w:trPr>
          <w:trHeight w:val="45" w:hRule="atLeast"/>
        </w:trPr>
        <w:tc>
          <w:tcPr>
            <w:tcW w:w="201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Sektor</w:t>
            </w:r>
          </w:p>
        </w:tc>
        <w:tc>
          <w:tcPr>
            <w:tcW w:w="192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Podsektor</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Rodzaj podmiotu</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Energia</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Wydobywanie kopalin</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gospodarczą w zakresie wydobywania gazu ziemnego na podstawie koncesji,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gospodarczą w zakresie wydobywania ropy naftowej na podstawie koncesji,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gospodarczą w zakresie wydobywania węgla brunatnego na podstawie koncesji,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gospodarczą w zakresie wydobywania węgla kamiennego na podstawie koncesji,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gospodarczą w zakresie wydobywania pozostałych kopalin na podstawie koncesji, o której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Energia elektryczna</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wytwarzania energii elektrycznej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24</w:t>
            </w:r>
            <w:r>
              <w:rPr>
                <w:rFonts w:ascii="Times New Roman"/>
                <w:b w:val="false"/>
                <w:i w:val="false"/>
                <w:color w:val="000000"/>
                <w:sz w:val="24"/>
                <w:lang w:val="pl-PL"/>
              </w:rPr>
              <w:t xml:space="preserve"> ustawy z dnia 10 kwietnia 1997 r. - Prawo energetyczne, posiadające koncesję na wykonywanie działalności gospodarczej w zakresie przesyłania energii elektrycznej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25</w:t>
            </w:r>
            <w:r>
              <w:rPr>
                <w:rFonts w:ascii="Times New Roman"/>
                <w:b w:val="false"/>
                <w:i w:val="false"/>
                <w:color w:val="000000"/>
                <w:sz w:val="24"/>
                <w:lang w:val="pl-PL"/>
              </w:rPr>
              <w:t xml:space="preserve"> ustawy z dnia 10 kwietnia 1997 r. - Prawo energetyczne, posiadające koncesję na wykonywanie działalności gospodarczej w zakresie dystrybucji energii elektrycznej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obrotu energią elektryczną</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art. 3 pkt 28b</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Uczestnicy rynku świadczący usługę, o której mowa w </w:t>
            </w:r>
            <w:r>
              <w:rPr>
                <w:rFonts w:ascii="Times New Roman"/>
                <w:b w:val="false"/>
                <w:i w:val="false"/>
                <w:color w:val="1b1b1b"/>
                <w:sz w:val="24"/>
                <w:lang w:val="pl-PL"/>
              </w:rPr>
              <w:t>art. 3 pkt 6e</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Uczestnicy rynku świadczący usługę, o której mowa w </w:t>
            </w:r>
            <w:r>
              <w:rPr>
                <w:rFonts w:ascii="Times New Roman"/>
                <w:b w:val="false"/>
                <w:i w:val="false"/>
                <w:color w:val="1b1b1b"/>
                <w:sz w:val="24"/>
                <w:lang w:val="pl-PL"/>
              </w:rPr>
              <w:t>art. 3 pkt 11j</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Uczestnicy rynku świadczący usługę, o której mowa w </w:t>
            </w:r>
            <w:r>
              <w:rPr>
                <w:rFonts w:ascii="Times New Roman"/>
                <w:b w:val="false"/>
                <w:i w:val="false"/>
                <w:color w:val="1b1b1b"/>
                <w:sz w:val="24"/>
                <w:lang w:val="pl-PL"/>
              </w:rPr>
              <w:t>art. 3 pkt 59</w:t>
            </w:r>
            <w:r>
              <w:rPr>
                <w:rFonts w:ascii="Times New Roman"/>
                <w:b w:val="false"/>
                <w:i w:val="false"/>
                <w:color w:val="000000"/>
                <w:sz w:val="24"/>
                <w:lang w:val="pl-PL"/>
              </w:rPr>
              <w:t xml:space="preserve"> i </w:t>
            </w:r>
            <w:r>
              <w:rPr>
                <w:rFonts w:ascii="Times New Roman"/>
                <w:b w:val="false"/>
                <w:i w:val="false"/>
                <w:color w:val="1b1b1b"/>
                <w:sz w:val="24"/>
                <w:lang w:val="pl-PL"/>
              </w:rPr>
              <w:t>59a</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Przedsiębiorcy odpowiedzialni za zarządzanie punktem ładowania i jego obsługę, świadczący usługę ładowania na rzecz użytkowników końcowych, w tym w imieniu i na rzecz dostawcy usług w zakresie mobilności</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Ciepło</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wytwarzania ciepła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obrotu ciepłem</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przesyłania ciepła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dystrybucji ciepła</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Ropa i paliwa</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wytwarzania paliw ciekłych, o której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prowadzące działalność gospodarczą w zakresie przesyłania ropy naftowej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przesyłania paliw ciekłych siecią rurociągów, o której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prowadzący działalność gospodarczą w zakresie magazynowania ropy naftowej, w tym w zakresie bezzbiornikowego podziemnego magazynowania ropy naftowej, o którym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 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prowadzące działalność gospodarczą w zakresie przeładunku ropy naftowej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wykonujące działalność gospodarczą w zakresie magazynowania paliw ciekłych,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ustawy z dnia 10 kwietnia 1997 r. - Prawo energetyczne, oraz podmiot prowadzący działalność w zakresie bezzbiornikowego podziemnego magazynowania paliw ciekłych, o którym mowa w </w:t>
            </w:r>
            <w:r>
              <w:rPr>
                <w:rFonts w:ascii="Times New Roman"/>
                <w:b w:val="false"/>
                <w:i w:val="false"/>
                <w:color w:val="1b1b1b"/>
                <w:sz w:val="24"/>
                <w:lang w:val="pl-PL"/>
              </w:rPr>
              <w:t>art. 22 ust. 1</w:t>
            </w:r>
            <w:r>
              <w:rPr>
                <w:rFonts w:ascii="Times New Roman"/>
                <w:b w:val="false"/>
                <w:i w:val="false"/>
                <w:color w:val="000000"/>
                <w:sz w:val="24"/>
                <w:lang w:val="pl-PL"/>
              </w:rPr>
              <w:t xml:space="preserve"> ustawy z dnia 9 czerwca 2011 r. -</w:t>
            </w:r>
          </w:p>
          <w:p>
            <w:pPr>
              <w:spacing w:before="25" w:after="0"/>
              <w:ind w:left="0"/>
              <w:jc w:val="left"/>
              <w:textAlignment w:val="auto"/>
            </w:pPr>
            <w:r>
              <w:rPr>
                <w:rFonts w:ascii="Times New Roman"/>
                <w:b w:val="false"/>
                <w:i w:val="false"/>
                <w:color w:val="000000"/>
                <w:sz w:val="24"/>
                <w:lang w:val="pl-PL"/>
              </w:rPr>
              <w:t>Prawo geologiczne i górnicze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wykonujące działalność gospodarczą w zakresie przeładunku paliw ciekłych,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wykonujące działalność gospodarczą w zakresie obrotu paliwami ciekłymi lub w zakresie obrotu paliwami ciekłymi z zagranicą,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prowadzące działalność gospodarczą w zakresie wytwarzania paliw syntetycznych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Agencja wykonawcza utworzona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2020 r. o rezerwach strategicznych (Dz. U. z 2024 r. poz. 1598 i 1907 oraz z 2026 r. poz. 203)</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Gaz</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prowadzące działalność w zakresie wytwarzania paliw gazowych, o którym mowa w </w:t>
            </w:r>
            <w:r>
              <w:rPr>
                <w:rFonts w:ascii="Times New Roman"/>
                <w:b w:val="false"/>
                <w:i w:val="false"/>
                <w:color w:val="1b1b1b"/>
                <w:sz w:val="24"/>
                <w:lang w:val="pl-PL"/>
              </w:rPr>
              <w:t>art. 3 pkt 45</w:t>
            </w:r>
            <w:r>
              <w:rPr>
                <w:rFonts w:ascii="Times New Roman"/>
                <w:b w:val="false"/>
                <w:i w:val="false"/>
                <w:color w:val="000000"/>
                <w:sz w:val="24"/>
                <w:lang w:val="pl-PL"/>
              </w:rPr>
              <w:t xml:space="preserve"> ustawy z dnia 10 kwietnia 1997 r. - Prawo energetyczne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przesyłania paliw gazowych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posiadające koncesję na wykonywanie działalności gospodarczej w zakresie obrotu gazem ziemnym z zagranicą lub na wykonywanie działalności gospodarczej w zakresie obrotu paliwami gazowymi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24</w:t>
            </w:r>
            <w:r>
              <w:rPr>
                <w:rFonts w:ascii="Times New Roman"/>
                <w:b w:val="false"/>
                <w:i w:val="false"/>
                <w:color w:val="000000"/>
                <w:sz w:val="24"/>
                <w:lang w:val="pl-PL"/>
              </w:rPr>
              <w:t xml:space="preserve"> ustawy z dnia 10 kwietnia 1997 r. - Prawo energetyczne, będące wyznaczonym przez Prezesa Urzędu Regulacji Energetyki operatorem systemu przesyłowego gazowego</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25</w:t>
            </w:r>
            <w:r>
              <w:rPr>
                <w:rFonts w:ascii="Times New Roman"/>
                <w:b w:val="false"/>
                <w:i w:val="false"/>
                <w:color w:val="000000"/>
                <w:sz w:val="24"/>
                <w:lang w:val="pl-PL"/>
              </w:rPr>
              <w:t xml:space="preserve"> ustawy z dnia 10 kwietnia 1997 r. - Prawo energetyczne, będące wyznaczonym przez Prezesa Urzędu Regulacji Energetyki operatorem systemu dystrybucyjnego gazowego</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26</w:t>
            </w:r>
            <w:r>
              <w:rPr>
                <w:rFonts w:ascii="Times New Roman"/>
                <w:b w:val="false"/>
                <w:i w:val="false"/>
                <w:color w:val="000000"/>
                <w:sz w:val="24"/>
                <w:lang w:val="pl-PL"/>
              </w:rPr>
              <w:t xml:space="preserve"> ustawy z dnia 10 kwietnia 1997 r. - Prawo energetyczne, będące wyznaczonym przez Prezesa Urzędu Regulacji Energetyki operatorem systemu magazynowania paliw gazowych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27</w:t>
            </w:r>
            <w:r>
              <w:rPr>
                <w:rFonts w:ascii="Times New Roman"/>
                <w:b w:val="false"/>
                <w:i w:val="false"/>
                <w:color w:val="000000"/>
                <w:sz w:val="24"/>
                <w:lang w:val="pl-PL"/>
              </w:rPr>
              <w:t xml:space="preserve"> ustawy z dnia 10 kwietnia 1997 r. - Prawo energetyczne, będące wyznaczonym przez Prezesa Urzędu Regulacji Energetyki operatorem systemu skraplania gazu ziemnego</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Przedsiębiorstwa energetyczne prowadzące działalność gospodarczą w zakresie rafinacji i przetwarzania gazu ziemnego</w:t>
            </w:r>
          </w:p>
        </w:tc>
      </w:tr>
      <w:tr>
        <w:trPr>
          <w:trHeight w:val="45" w:hRule="atLeast"/>
        </w:trPr>
        <w:tc>
          <w:tcPr>
            <w:tcW w:w="0" w:type="auto"/>
            <w:vMerge/>
            <w:tcBorders>
              <w:top w:val="nil"/>
              <w:bottom w:val="single" w:color="000000" w:sz="8"/>
              <w:right w:val="single" w:color="000000" w:sz="8"/>
            </w:tcBorders>
          </w:tcPr>
          <w:p/>
        </w:tc>
        <w:tc>
          <w:tcPr>
            <w:tcW w:w="1927"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Energetyka jądrowa</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będący operatorem obiektu energetyki jądrowej, określonego w </w:t>
            </w:r>
            <w:r>
              <w:rPr>
                <w:rFonts w:ascii="Times New Roman"/>
                <w:b w:val="false"/>
                <w:i w:val="false"/>
                <w:color w:val="1b1b1b"/>
                <w:sz w:val="24"/>
                <w:lang w:val="pl-PL"/>
              </w:rPr>
              <w:t>art. 2 pkt 2</w:t>
            </w:r>
            <w:r>
              <w:rPr>
                <w:rFonts w:ascii="Times New Roman"/>
                <w:b w:val="false"/>
                <w:i w:val="false"/>
                <w:color w:val="000000"/>
                <w:sz w:val="24"/>
                <w:lang w:val="pl-PL"/>
              </w:rPr>
              <w:t xml:space="preserve"> ustawy z dnia 29 czerwca 2011 r. o przygotowaniu i realizacji inwestycji w zakresie obiektów energetyki jądrowej oraz inwestycji towarzyszących</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Wodór</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prowadzące działalność w zakresie przesyłania wodoru</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prowadzące działalność w zakresie magazynowania wodoru</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prowadzące działalność w zakresie wytwarzania wodoru</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Przedsiębiorstwo energetyczne,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10 kwietnia 1997 r. - Prawo energetyczne, prowadzące działalność w zakresie dystrybucji wodoru</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 lotniczy</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Przewoźnik lotniczy, o którym mowa w art. 3 pkt 4 rozporządzenia</w:t>
            </w:r>
          </w:p>
          <w:p>
            <w:pPr>
              <w:spacing w:before="25" w:after="0"/>
              <w:ind w:left="0"/>
              <w:jc w:val="left"/>
              <w:textAlignment w:val="auto"/>
            </w:pPr>
            <w:r>
              <w:rPr>
                <w:rFonts w:ascii="Times New Roman"/>
                <w:b w:val="false"/>
                <w:i w:val="false"/>
                <w:color w:val="000000"/>
                <w:sz w:val="24"/>
                <w:lang w:val="pl-PL"/>
              </w:rPr>
              <w:t xml:space="preserve">Parlamentu Europejskiego i Rady (WE) nr 300/2008 z dnia 11 marca 2008 r. w sprawie wspólnych zasad w dziedzinie ochrony lotnictwa cywilnego i uchylającego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(WE) nr 2320/2002</w:t>
            </w:r>
          </w:p>
          <w:p>
            <w:pPr>
              <w:spacing w:before="25" w:after="0"/>
              <w:ind w:left="0"/>
              <w:jc w:val="left"/>
              <w:textAlignment w:val="auto"/>
            </w:pPr>
            <w:r>
              <w:rPr>
                <w:rFonts w:ascii="Times New Roman"/>
                <w:b w:val="false"/>
                <w:i w:val="false"/>
                <w:color w:val="000000"/>
                <w:sz w:val="24"/>
                <w:lang w:val="pl-PL"/>
              </w:rPr>
              <w:t>(Dz. Urz. UE L 97 z 09.04.2008, str. 72)</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Zarządzający lotniskiem, o którym mowa w </w:t>
            </w:r>
            <w:r>
              <w:rPr>
                <w:rFonts w:ascii="Times New Roman"/>
                <w:b w:val="false"/>
                <w:i w:val="false"/>
                <w:color w:val="1b1b1b"/>
                <w:sz w:val="24"/>
                <w:lang w:val="pl-PL"/>
              </w:rPr>
              <w:t>art. 2 pkt 7</w:t>
            </w:r>
            <w:r>
              <w:rPr>
                <w:rFonts w:ascii="Times New Roman"/>
                <w:b w:val="false"/>
                <w:i w:val="false"/>
                <w:color w:val="000000"/>
                <w:sz w:val="24"/>
                <w:lang w:val="pl-PL"/>
              </w:rPr>
              <w:t xml:space="preserve"> ustawy z dnia 3 lipca 2002 r. - Prawo lotnicze (Dz. U. z 2025 r. poz. 1431 i 1668 oraz z 2026 r. poz. 176)</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Przedsiębiorca, o którym mowa w </w:t>
            </w:r>
            <w:r>
              <w:rPr>
                <w:rFonts w:ascii="Times New Roman"/>
                <w:b w:val="false"/>
                <w:i w:val="false"/>
                <w:color w:val="1b1b1b"/>
                <w:sz w:val="24"/>
                <w:lang w:val="pl-PL"/>
              </w:rPr>
              <w:t>art. 177 ust. 2</w:t>
            </w:r>
            <w:r>
              <w:rPr>
                <w:rFonts w:ascii="Times New Roman"/>
                <w:b w:val="false"/>
                <w:i w:val="false"/>
                <w:color w:val="000000"/>
                <w:sz w:val="24"/>
                <w:lang w:val="pl-PL"/>
              </w:rPr>
              <w:t xml:space="preserve"> ustawy z dnia 3 lipca 2002 r. - Prawo lotnicze, wykonujący dla przewoźników lotniczych oraz innych użytkowników statków powietrznych jedną lub więcej kategorii usług, o których mowa w </w:t>
            </w:r>
            <w:r>
              <w:rPr>
                <w:rFonts w:ascii="Times New Roman"/>
                <w:b w:val="false"/>
                <w:i w:val="false"/>
                <w:color w:val="1b1b1b"/>
                <w:sz w:val="24"/>
                <w:lang w:val="pl-PL"/>
              </w:rPr>
              <w:t>art. 176</w:t>
            </w:r>
            <w:r>
              <w:rPr>
                <w:rFonts w:ascii="Times New Roman"/>
                <w:b w:val="false"/>
                <w:i w:val="false"/>
                <w:color w:val="000000"/>
                <w:sz w:val="24"/>
                <w:lang w:val="pl-PL"/>
              </w:rPr>
              <w:t xml:space="preserve"> tej ustawy, oraz przedsiębiorca, o którym mowa w </w:t>
            </w:r>
            <w:r>
              <w:rPr>
                <w:rFonts w:ascii="Times New Roman"/>
                <w:b w:val="false"/>
                <w:i w:val="false"/>
                <w:color w:val="1b1b1b"/>
                <w:sz w:val="24"/>
                <w:lang w:val="pl-PL"/>
              </w:rPr>
              <w:t>art. 186b ust. 1 pkt 2</w:t>
            </w:r>
            <w:r>
              <w:rPr>
                <w:rFonts w:ascii="Times New Roman"/>
                <w:b w:val="false"/>
                <w:i w:val="false"/>
                <w:color w:val="000000"/>
                <w:sz w:val="24"/>
                <w:lang w:val="pl-PL"/>
              </w:rPr>
              <w:t xml:space="preserve"> ustawy z dnia 3 lipca 2002 r. - Prawo lotnicze, wykonujący zadania związane z kontrolą bezpieczeństwa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Instytucja zapewniająca służby żeglugi powietrznej, o której mowa w </w:t>
            </w:r>
            <w:r>
              <w:rPr>
                <w:rFonts w:ascii="Times New Roman"/>
                <w:b w:val="false"/>
                <w:i w:val="false"/>
                <w:color w:val="1b1b1b"/>
                <w:sz w:val="24"/>
                <w:lang w:val="pl-PL"/>
              </w:rPr>
              <w:t>art. 127 ust. 1</w:t>
            </w:r>
            <w:r>
              <w:rPr>
                <w:rFonts w:ascii="Times New Roman"/>
                <w:b w:val="false"/>
                <w:i w:val="false"/>
                <w:color w:val="000000"/>
                <w:sz w:val="24"/>
                <w:lang w:val="pl-PL"/>
              </w:rPr>
              <w:t xml:space="preserve"> ustawy z dnia 3 lipca 2002 r. - Prawo lotnicze</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 kolejowy</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Zarządca infrastruktury kolejowej w rozumieniu </w:t>
            </w:r>
            <w:r>
              <w:rPr>
                <w:rFonts w:ascii="Times New Roman"/>
                <w:b w:val="false"/>
                <w:i w:val="false"/>
                <w:color w:val="1b1b1b"/>
                <w:sz w:val="24"/>
                <w:lang w:val="pl-PL"/>
              </w:rPr>
              <w:t>art. 4 pkt 7</w:t>
            </w:r>
            <w:r>
              <w:rPr>
                <w:rFonts w:ascii="Times New Roman"/>
                <w:b w:val="false"/>
                <w:i w:val="false"/>
                <w:color w:val="000000"/>
                <w:sz w:val="24"/>
                <w:lang w:val="pl-PL"/>
              </w:rPr>
              <w:t xml:space="preserve"> ustawy z dnia 28 marca 2003 r. o transporcie kolejowym (Dz. U. z 2025 r. poz. 1234 oraz z 2026 r. poz. 41), z wyłączeniem zarządców wyłącznie infrastruktury nieczynnej, o której mowa w </w:t>
            </w:r>
            <w:r>
              <w:rPr>
                <w:rFonts w:ascii="Times New Roman"/>
                <w:b w:val="false"/>
                <w:i w:val="false"/>
                <w:color w:val="1b1b1b"/>
                <w:sz w:val="24"/>
                <w:lang w:val="pl-PL"/>
              </w:rPr>
              <w:t>art. 4 pkt 1b</w:t>
            </w:r>
            <w:r>
              <w:rPr>
                <w:rFonts w:ascii="Times New Roman"/>
                <w:b w:val="false"/>
                <w:i w:val="false"/>
                <w:color w:val="000000"/>
                <w:sz w:val="24"/>
                <w:lang w:val="pl-PL"/>
              </w:rPr>
              <w:t xml:space="preserve"> tej ustawy, infrastruktury prywatnej, o której mowa w </w:t>
            </w:r>
            <w:r>
              <w:rPr>
                <w:rFonts w:ascii="Times New Roman"/>
                <w:b w:val="false"/>
                <w:i w:val="false"/>
                <w:color w:val="1b1b1b"/>
                <w:sz w:val="24"/>
                <w:lang w:val="pl-PL"/>
              </w:rPr>
              <w:t>art. 4 pkt 1c</w:t>
            </w:r>
            <w:r>
              <w:rPr>
                <w:rFonts w:ascii="Times New Roman"/>
                <w:b w:val="false"/>
                <w:i w:val="false"/>
                <w:color w:val="000000"/>
                <w:sz w:val="24"/>
                <w:lang w:val="pl-PL"/>
              </w:rPr>
              <w:t xml:space="preserve">, oraz infrastruktury kolei wąskotorowej, o której mowa w </w:t>
            </w:r>
            <w:r>
              <w:rPr>
                <w:rFonts w:ascii="Times New Roman"/>
                <w:b w:val="false"/>
                <w:i w:val="false"/>
                <w:color w:val="1b1b1b"/>
                <w:sz w:val="24"/>
                <w:lang w:val="pl-PL"/>
              </w:rPr>
              <w:t>art. 4 pkt 1d</w:t>
            </w:r>
            <w:r>
              <w:rPr>
                <w:rFonts w:ascii="Times New Roman"/>
                <w:b w:val="false"/>
                <w:i w:val="false"/>
                <w:color w:val="000000"/>
                <w:sz w:val="24"/>
                <w:lang w:val="pl-PL"/>
              </w:rPr>
              <w:t xml:space="preserve"> tej ustawy</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Przewoźnik kolejowy, o którym mowa w </w:t>
            </w:r>
            <w:r>
              <w:rPr>
                <w:rFonts w:ascii="Times New Roman"/>
                <w:b w:val="false"/>
                <w:i w:val="false"/>
                <w:color w:val="1b1b1b"/>
                <w:sz w:val="24"/>
                <w:lang w:val="pl-PL"/>
              </w:rPr>
              <w:t>art. 4 pkt 9</w:t>
            </w:r>
            <w:r>
              <w:rPr>
                <w:rFonts w:ascii="Times New Roman"/>
                <w:b w:val="false"/>
                <w:i w:val="false"/>
                <w:color w:val="000000"/>
                <w:sz w:val="24"/>
                <w:lang w:val="pl-PL"/>
              </w:rPr>
              <w:t xml:space="preserve"> ustawy z dnia 28 marca 2003 r. o transporcie kolejowym, którego działalność podlega licencjonowaniu, oraz operator obiektu infrastruktury usługowej, o którym mowa w </w:t>
            </w:r>
            <w:r>
              <w:rPr>
                <w:rFonts w:ascii="Times New Roman"/>
                <w:b w:val="false"/>
                <w:i w:val="false"/>
                <w:color w:val="1b1b1b"/>
                <w:sz w:val="24"/>
                <w:lang w:val="pl-PL"/>
              </w:rPr>
              <w:t>art. 4 pkt 52</w:t>
            </w:r>
            <w:r>
              <w:rPr>
                <w:rFonts w:ascii="Times New Roman"/>
                <w:b w:val="false"/>
                <w:i w:val="false"/>
                <w:color w:val="000000"/>
                <w:sz w:val="24"/>
                <w:lang w:val="pl-PL"/>
              </w:rPr>
              <w:t xml:space="preserve"> ustawy z dnia 28 marca 2003 r.</w:t>
            </w:r>
          </w:p>
          <w:p>
            <w:pPr>
              <w:spacing w:before="25" w:after="0"/>
              <w:ind w:left="0"/>
              <w:jc w:val="left"/>
              <w:textAlignment w:val="auto"/>
            </w:pPr>
            <w:r>
              <w:rPr>
                <w:rFonts w:ascii="Times New Roman"/>
                <w:b w:val="false"/>
                <w:i w:val="false"/>
                <w:color w:val="000000"/>
                <w:sz w:val="24"/>
                <w:lang w:val="pl-PL"/>
              </w:rPr>
              <w:t>o transporcie kolejowym, jeżeli przedsiębiorca wykonujący funkcję operatora jest jednocześnie przewoźnikiem kolejowym</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 wodny</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Armator w transporcie morskim pasażerów i towarów zgodnie z definicją dla transportu morskiego w </w:t>
            </w:r>
            <w:r>
              <w:rPr>
                <w:rFonts w:ascii="Times New Roman"/>
                <w:b w:val="false"/>
                <w:i w:val="false"/>
                <w:color w:val="1b1b1b"/>
                <w:sz w:val="24"/>
                <w:lang w:val="pl-PL"/>
              </w:rPr>
              <w:t>załączniku I</w:t>
            </w:r>
            <w:r>
              <w:rPr>
                <w:rFonts w:ascii="Times New Roman"/>
                <w:b w:val="false"/>
                <w:i w:val="false"/>
                <w:color w:val="000000"/>
                <w:sz w:val="24"/>
                <w:lang w:val="pl-PL"/>
              </w:rPr>
              <w:t xml:space="preserve"> do rozporządzenia (WE) nr 725/2004 Parlamentu Europejskiego i Rady z dnia 31 marca 2004 r. w sprawie podniesienia ochrony statków i obiektów portowych (Dz. Urz. UE L 129 z 29.04.2004, str. 6, z późn. zm.), z wyłączeniem poszczególnych statków, na których prowadzą działalność ci armatorzy</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Armator, o którym mowa w </w:t>
            </w:r>
            <w:r>
              <w:rPr>
                <w:rFonts w:ascii="Times New Roman"/>
                <w:b w:val="false"/>
                <w:i w:val="false"/>
                <w:color w:val="1b1b1b"/>
                <w:sz w:val="24"/>
                <w:lang w:val="pl-PL"/>
              </w:rPr>
              <w:t>art. 5 ust. 1 pkt 2</w:t>
            </w:r>
            <w:r>
              <w:rPr>
                <w:rFonts w:ascii="Times New Roman"/>
                <w:b w:val="false"/>
                <w:i w:val="false"/>
                <w:color w:val="000000"/>
                <w:sz w:val="24"/>
                <w:lang w:val="pl-PL"/>
              </w:rPr>
              <w:t xml:space="preserve"> ustawy z dnia 21 grudnia 2000 r. o żegludze śródlądowej (Dz. U. z 2025 r. poz. 18)</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zarządzający portem morskim, o którym mowa w </w:t>
            </w:r>
            <w:r>
              <w:rPr>
                <w:rFonts w:ascii="Times New Roman"/>
                <w:b w:val="false"/>
                <w:i w:val="false"/>
                <w:color w:val="1b1b1b"/>
                <w:sz w:val="24"/>
                <w:lang w:val="pl-PL"/>
              </w:rPr>
              <w:t>art. 3 ust. 1 pkt 2</w:t>
            </w:r>
            <w:r>
              <w:rPr>
                <w:rFonts w:ascii="Times New Roman"/>
                <w:b w:val="false"/>
                <w:i w:val="false"/>
                <w:color w:val="000000"/>
                <w:sz w:val="24"/>
                <w:lang w:val="pl-PL"/>
              </w:rPr>
              <w:t xml:space="preserve"> ustawy z dnia 4 września 2008 r. o ochronie żeglugi i portów morskich (Dz. U. z 2024 r. poz. 597)</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zarządzający obiektem portowym, o którym mowa w </w:t>
            </w:r>
            <w:r>
              <w:rPr>
                <w:rFonts w:ascii="Times New Roman"/>
                <w:b w:val="false"/>
                <w:i w:val="false"/>
                <w:color w:val="1b1b1b"/>
                <w:sz w:val="24"/>
                <w:lang w:val="pl-PL"/>
              </w:rPr>
              <w:t>art. 2 pkt 11</w:t>
            </w:r>
            <w:r>
              <w:rPr>
                <w:rFonts w:ascii="Times New Roman"/>
                <w:b w:val="false"/>
                <w:i w:val="false"/>
                <w:color w:val="000000"/>
                <w:sz w:val="24"/>
                <w:lang w:val="pl-PL"/>
              </w:rPr>
              <w:t xml:space="preserve"> rozporządzenia (WE) 725/2004 Parlamentu Europejskiego i Rady z dnia 31 marca 2004 r. w sprawie podniesienia ochrony statków i obiektów portowych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na terenie portu działalność wspomagającą transport morski ujęte w klasie 52.22 klasyfikacji NACE Rev. 2, ujętej w </w:t>
            </w:r>
            <w:r>
              <w:rPr>
                <w:rFonts w:ascii="Times New Roman"/>
                <w:b w:val="false"/>
                <w:i w:val="false"/>
                <w:color w:val="1b1b1b"/>
                <w:sz w:val="24"/>
                <w:lang w:val="pl-PL"/>
              </w:rPr>
              <w:t>załączniku I</w:t>
            </w:r>
            <w:r>
              <w:rPr>
                <w:rFonts w:ascii="Times New Roman"/>
                <w:b w:val="false"/>
                <w:i w:val="false"/>
                <w:color w:val="000000"/>
                <w:sz w:val="24"/>
                <w:lang w:val="pl-PL"/>
              </w:rPr>
              <w:t xml:space="preserve"> do rozporządzenia (WE) nr 1893/2006 Parlamentu Europejskiego i Rady z dnia 20 grudnia 2006 r. w sprawie statystycznej klasyfikacji działalności gospodarczej NACE Rev. 2 i zmieniającego rozporządzenie Rady (EWG) nr 3037/90 oraz niektóre rozporządzenia</w:t>
            </w:r>
          </w:p>
          <w:p>
            <w:pPr>
              <w:spacing w:before="25" w:after="0"/>
              <w:ind w:left="0"/>
              <w:jc w:val="left"/>
              <w:textAlignment w:val="auto"/>
            </w:pPr>
            <w:r>
              <w:rPr>
                <w:rFonts w:ascii="Times New Roman"/>
                <w:b w:val="false"/>
                <w:i w:val="false"/>
                <w:color w:val="000000"/>
                <w:sz w:val="24"/>
                <w:lang w:val="pl-PL"/>
              </w:rPr>
              <w:t>WE w sprawie określonych dziedzin statystycznych (Dz. Urz. UE L 393 z 30.12.2006, str. 1, z późn. zm.)</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VTS (Służba Kontroli Ruchu Statków) - aparat pomocniczy dyrektora urzędu morskiego powołany w celu monitorowania ruchu statków i przekazywania informacji, stanowiący część składową Narodowego</w:t>
            </w:r>
          </w:p>
          <w:p>
            <w:pPr>
              <w:spacing w:before="25" w:after="0"/>
              <w:ind w:left="0"/>
              <w:jc w:val="left"/>
              <w:textAlignment w:val="auto"/>
            </w:pPr>
            <w:r>
              <w:rPr>
                <w:rFonts w:ascii="Times New Roman"/>
                <w:b w:val="false"/>
                <w:i w:val="false"/>
                <w:color w:val="000000"/>
                <w:sz w:val="24"/>
                <w:lang w:val="pl-PL"/>
              </w:rPr>
              <w:t xml:space="preserve">Systemu SafeSeaNet, o którym mowa w </w:t>
            </w:r>
            <w:r>
              <w:rPr>
                <w:rFonts w:ascii="Times New Roman"/>
                <w:b w:val="false"/>
                <w:i w:val="false"/>
                <w:color w:val="1b1b1b"/>
                <w:sz w:val="24"/>
                <w:lang w:val="pl-PL"/>
              </w:rPr>
              <w:t>art. 91</w:t>
            </w:r>
            <w:r>
              <w:rPr>
                <w:rFonts w:ascii="Times New Roman"/>
                <w:b w:val="false"/>
                <w:i w:val="false"/>
                <w:color w:val="000000"/>
                <w:sz w:val="24"/>
                <w:lang w:val="pl-PL"/>
              </w:rPr>
              <w:t xml:space="preserve"> ustawy z dnia 18 sierpnia 2011 r. o bezpieczeństwie morskim (Dz. U. z 2025 r. poz. 883 i 1535)</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 drogowy</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Zarządca drogi, o którym mowa w </w:t>
            </w:r>
            <w:r>
              <w:rPr>
                <w:rFonts w:ascii="Times New Roman"/>
                <w:b w:val="false"/>
                <w:i w:val="false"/>
                <w:color w:val="1b1b1b"/>
                <w:sz w:val="24"/>
                <w:lang w:val="pl-PL"/>
              </w:rPr>
              <w:t>art. 19 ust. 2 pkt 1</w:t>
            </w:r>
            <w:r>
              <w:rPr>
                <w:rFonts w:ascii="Times New Roman"/>
                <w:b w:val="false"/>
                <w:i w:val="false"/>
                <w:color w:val="000000"/>
                <w:sz w:val="24"/>
                <w:lang w:val="pl-PL"/>
              </w:rPr>
              <w:t xml:space="preserve"> ustawy z dnia 21 marca 1985 r. o drogach publicznych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świadczące usługę ITS, o której mowa w </w:t>
            </w:r>
            <w:r>
              <w:rPr>
                <w:rFonts w:ascii="Times New Roman"/>
                <w:b w:val="false"/>
                <w:i w:val="false"/>
                <w:color w:val="1b1b1b"/>
                <w:sz w:val="24"/>
                <w:lang w:val="pl-PL"/>
              </w:rPr>
              <w:t>art. 4 pkt 36</w:t>
            </w:r>
            <w:r>
              <w:rPr>
                <w:rFonts w:ascii="Times New Roman"/>
                <w:b w:val="false"/>
                <w:i w:val="false"/>
                <w:color w:val="000000"/>
                <w:sz w:val="24"/>
                <w:lang w:val="pl-PL"/>
              </w:rPr>
              <w:t xml:space="preserve"> ustawy z dnia 21 marca 1985 r. o drogach publicznych</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Bankowość i infrastruktura rynków finansowych</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Instytucja kredytowa, o której mowa w </w:t>
            </w:r>
            <w:r>
              <w:rPr>
                <w:rFonts w:ascii="Times New Roman"/>
                <w:b w:val="false"/>
                <w:i w:val="false"/>
                <w:color w:val="1b1b1b"/>
                <w:sz w:val="24"/>
                <w:lang w:val="pl-PL"/>
              </w:rPr>
              <w:t>art. 4 ust. 1 pkt 17</w:t>
            </w:r>
            <w:r>
              <w:rPr>
                <w:rFonts w:ascii="Times New Roman"/>
                <w:b w:val="false"/>
                <w:i w:val="false"/>
                <w:color w:val="000000"/>
                <w:sz w:val="24"/>
                <w:lang w:val="pl-PL"/>
              </w:rPr>
              <w:t xml:space="preserve"> ustawy z dnia 29 sierpnia 1997 r. - Prawo bankowe (Dz. U. z 2026 r. poz. 38 i 176)</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Bank krajowy, o którym mowa w </w:t>
            </w:r>
            <w:r>
              <w:rPr>
                <w:rFonts w:ascii="Times New Roman"/>
                <w:b w:val="false"/>
                <w:i w:val="false"/>
                <w:color w:val="1b1b1b"/>
                <w:sz w:val="24"/>
                <w:lang w:val="pl-PL"/>
              </w:rPr>
              <w:t>art. 4 ust. 1 pkt 1</w:t>
            </w:r>
            <w:r>
              <w:rPr>
                <w:rFonts w:ascii="Times New Roman"/>
                <w:b w:val="false"/>
                <w:i w:val="false"/>
                <w:color w:val="000000"/>
                <w:sz w:val="24"/>
                <w:lang w:val="pl-PL"/>
              </w:rPr>
              <w:t xml:space="preserve"> ustawy z dnia</w:t>
            </w:r>
          </w:p>
          <w:p>
            <w:pPr>
              <w:spacing w:before="25" w:after="0"/>
              <w:ind w:left="0"/>
              <w:jc w:val="left"/>
              <w:textAlignment w:val="auto"/>
            </w:pPr>
            <w:r>
              <w:rPr>
                <w:rFonts w:ascii="Times New Roman"/>
                <w:b w:val="false"/>
                <w:i w:val="false"/>
                <w:color w:val="000000"/>
                <w:sz w:val="24"/>
                <w:lang w:val="pl-PL"/>
              </w:rPr>
              <w:t>29 sierpnia 1997 r. - Prawo bankowe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Oddział banku zagranicznego, o którym mowa w </w:t>
            </w:r>
            <w:r>
              <w:rPr>
                <w:rFonts w:ascii="Times New Roman"/>
                <w:b w:val="false"/>
                <w:i w:val="false"/>
                <w:color w:val="1b1b1b"/>
                <w:sz w:val="24"/>
                <w:lang w:val="pl-PL"/>
              </w:rPr>
              <w:t>art. 4 ust. 1 pkt 20</w:t>
            </w:r>
            <w:r>
              <w:rPr>
                <w:rFonts w:ascii="Times New Roman"/>
                <w:b w:val="false"/>
                <w:i w:val="false"/>
                <w:color w:val="000000"/>
                <w:sz w:val="24"/>
                <w:lang w:val="pl-PL"/>
              </w:rPr>
              <w:t xml:space="preserve"> ustawy z dnia 29 sierpnia 1997 r. - Prawo bankowe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Spółdzielcze kasy oszczędnościowo-kredytowe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5 listopada 2009 r. o spółdzielczych kasach oszczędnościowo-kredytowych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prowadzący rynek regulowany, o którym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ustawy z dnia 29 lipca 2005 r. o obrocie instrumentami finansowymi (Dz. U. z 2024 r. poz. 722, z późn. zm.)</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o którym mowa w </w:t>
            </w:r>
            <w:r>
              <w:rPr>
                <w:rFonts w:ascii="Times New Roman"/>
                <w:b w:val="false"/>
                <w:i w:val="false"/>
                <w:color w:val="1b1b1b"/>
                <w:sz w:val="24"/>
                <w:lang w:val="pl-PL"/>
              </w:rPr>
              <w:t>art. 3 pkt 49</w:t>
            </w:r>
            <w:r>
              <w:rPr>
                <w:rFonts w:ascii="Times New Roman"/>
                <w:b w:val="false"/>
                <w:i w:val="false"/>
                <w:color w:val="000000"/>
                <w:sz w:val="24"/>
                <w:lang w:val="pl-PL"/>
              </w:rPr>
              <w:t xml:space="preserve"> ustawy z dnia 29 lipca 2005 r.</w:t>
            </w:r>
          </w:p>
          <w:p>
            <w:pPr>
              <w:spacing w:before="25" w:after="0"/>
              <w:ind w:left="0"/>
              <w:jc w:val="left"/>
              <w:textAlignment w:val="auto"/>
            </w:pPr>
            <w:r>
              <w:rPr>
                <w:rFonts w:ascii="Times New Roman"/>
                <w:b w:val="false"/>
                <w:i w:val="false"/>
                <w:color w:val="000000"/>
                <w:sz w:val="24"/>
                <w:lang w:val="pl-PL"/>
              </w:rPr>
              <w:t>o obrocie instrumentami finansowymi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o którym mowa w </w:t>
            </w:r>
            <w:r>
              <w:rPr>
                <w:rFonts w:ascii="Times New Roman"/>
                <w:b w:val="false"/>
                <w:i w:val="false"/>
                <w:color w:val="1b1b1b"/>
                <w:sz w:val="24"/>
                <w:lang w:val="pl-PL"/>
              </w:rPr>
              <w:t>art. 48 ust. 7</w:t>
            </w:r>
            <w:r>
              <w:rPr>
                <w:rFonts w:ascii="Times New Roman"/>
                <w:b w:val="false"/>
                <w:i w:val="false"/>
                <w:color w:val="000000"/>
                <w:sz w:val="24"/>
                <w:lang w:val="pl-PL"/>
              </w:rPr>
              <w:t xml:space="preserve"> ustawy z dnia 29 lipca 2005 r.</w:t>
            </w:r>
          </w:p>
          <w:p>
            <w:pPr>
              <w:spacing w:before="25" w:after="0"/>
              <w:ind w:left="0"/>
              <w:jc w:val="left"/>
              <w:textAlignment w:val="auto"/>
            </w:pPr>
            <w:r>
              <w:rPr>
                <w:rFonts w:ascii="Times New Roman"/>
                <w:b w:val="false"/>
                <w:i w:val="false"/>
                <w:color w:val="000000"/>
                <w:sz w:val="24"/>
                <w:lang w:val="pl-PL"/>
              </w:rPr>
              <w:t>o obrocie instrumentami finansowymi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prowadzący ASO w rozumieniu </w:t>
            </w:r>
            <w:r>
              <w:rPr>
                <w:rFonts w:ascii="Times New Roman"/>
                <w:b w:val="false"/>
                <w:i w:val="false"/>
                <w:color w:val="1b1b1b"/>
                <w:sz w:val="24"/>
                <w:lang w:val="pl-PL"/>
              </w:rPr>
              <w:t>art. 3 pkt 2</w:t>
            </w:r>
            <w:r>
              <w:rPr>
                <w:rFonts w:ascii="Times New Roman"/>
                <w:b w:val="false"/>
                <w:i w:val="false"/>
                <w:color w:val="000000"/>
                <w:sz w:val="24"/>
                <w:lang w:val="pl-PL"/>
              </w:rPr>
              <w:t xml:space="preserve"> ustawy z dnia</w:t>
            </w:r>
          </w:p>
          <w:p>
            <w:pPr>
              <w:spacing w:before="25" w:after="0"/>
              <w:ind w:left="0"/>
              <w:jc w:val="left"/>
              <w:textAlignment w:val="auto"/>
            </w:pPr>
            <w:r>
              <w:rPr>
                <w:rFonts w:ascii="Times New Roman"/>
                <w:b w:val="false"/>
                <w:i w:val="false"/>
                <w:color w:val="000000"/>
                <w:sz w:val="24"/>
                <w:lang w:val="pl-PL"/>
              </w:rPr>
              <w:t>29 lipca 2005 r. o obrocie instrumentami finansowymi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prowadzący OTF w rozumieniu </w:t>
            </w:r>
            <w:r>
              <w:rPr>
                <w:rFonts w:ascii="Times New Roman"/>
                <w:b w:val="false"/>
                <w:i w:val="false"/>
                <w:color w:val="1b1b1b"/>
                <w:sz w:val="24"/>
                <w:lang w:val="pl-PL"/>
              </w:rPr>
              <w:t>art. 3 pkt 10b</w:t>
            </w:r>
            <w:r>
              <w:rPr>
                <w:rFonts w:ascii="Times New Roman"/>
                <w:b w:val="false"/>
                <w:i w:val="false"/>
                <w:color w:val="000000"/>
                <w:sz w:val="24"/>
                <w:lang w:val="pl-PL"/>
              </w:rPr>
              <w:t xml:space="preserve"> ustawy z dnia</w:t>
            </w:r>
          </w:p>
          <w:p>
            <w:pPr>
              <w:spacing w:before="25" w:after="0"/>
              <w:ind w:left="0"/>
              <w:jc w:val="left"/>
              <w:textAlignment w:val="auto"/>
            </w:pPr>
            <w:r>
              <w:rPr>
                <w:rFonts w:ascii="Times New Roman"/>
                <w:b w:val="false"/>
                <w:i w:val="false"/>
                <w:color w:val="000000"/>
                <w:sz w:val="24"/>
                <w:lang w:val="pl-PL"/>
              </w:rPr>
              <w:t>29 lipca 2005 r. o obrocie instrumentami finansowymi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Administratorzy kluczowych wskaźników referencyjnych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utworzony na podstawie </w:t>
            </w:r>
            <w:r>
              <w:rPr>
                <w:rFonts w:ascii="Times New Roman"/>
                <w:b w:val="false"/>
                <w:i w:val="false"/>
                <w:color w:val="1b1b1b"/>
                <w:sz w:val="24"/>
                <w:lang w:val="pl-PL"/>
              </w:rPr>
              <w:t>art. 67</w:t>
            </w:r>
            <w:r>
              <w:rPr>
                <w:rFonts w:ascii="Times New Roman"/>
                <w:b w:val="false"/>
                <w:i w:val="false"/>
                <w:color w:val="000000"/>
                <w:sz w:val="24"/>
                <w:lang w:val="pl-PL"/>
              </w:rPr>
              <w:t xml:space="preserve"> ustawy z dnia 29 sierpnia 1997 r. - Prawo bankowe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o którym mowa w </w:t>
            </w:r>
            <w:r>
              <w:rPr>
                <w:rFonts w:ascii="Times New Roman"/>
                <w:b w:val="false"/>
                <w:i w:val="false"/>
                <w:color w:val="1b1b1b"/>
                <w:sz w:val="24"/>
                <w:lang w:val="pl-PL"/>
              </w:rPr>
              <w:t>art. 3 pkt 21a</w:t>
            </w:r>
            <w:r>
              <w:rPr>
                <w:rFonts w:ascii="Times New Roman"/>
                <w:b w:val="false"/>
                <w:i w:val="false"/>
                <w:color w:val="000000"/>
                <w:sz w:val="24"/>
                <w:lang w:val="pl-PL"/>
              </w:rPr>
              <w:t xml:space="preserve"> ustawy z dnia 29 lipca 2005 r. o obrocie instrumentami finansowymi mający siedzibę na terytorium Rzeczypospolitej Polskiej</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Ochrona zdrowia</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Udzielanie świadczeń zdrowotnych i zdrowie publiczne</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leczniczy,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ustawy z dnia 15 kwietnia 2011 r. o działalności leczniczej (Dz. U. z 2026 r. poz. 156)</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Laboratoria referencyjne UE, o których mowa w </w:t>
            </w:r>
            <w:r>
              <w:rPr>
                <w:rFonts w:ascii="Times New Roman"/>
                <w:b w:val="false"/>
                <w:i w:val="false"/>
                <w:color w:val="1b1b1b"/>
                <w:sz w:val="24"/>
                <w:lang w:val="pl-PL"/>
              </w:rPr>
              <w:t>art. 15</w:t>
            </w:r>
            <w:r>
              <w:rPr>
                <w:rFonts w:ascii="Times New Roman"/>
                <w:b w:val="false"/>
                <w:i w:val="false"/>
                <w:color w:val="000000"/>
                <w:sz w:val="24"/>
                <w:lang w:val="pl-PL"/>
              </w:rPr>
              <w:t xml:space="preserve"> rozporządzenia Parlamentu Europejskiego i Rady (UE) 2022/2371 z dnia 23 listopada 2022 r. w sprawie poważnych transgranicznych zagrożeń zdrowia oraz uchylenia decyzji nr 1082/2013/UE (Dz. Urz. UE L 314 z 06.12.2022, str. 1)</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Jednostka podległa ministrowi właściwemu do spraw zdrowia albo przez niego nadzorowana, właściwa w zakresie systemów informacyjnych ochrony zdrowia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Urzędy obsługujące organy Państwowej Inspekcji Sanitarnej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Krajowe Centrum Monitorowania Ratownictwa Medycznego, o którym mowa w </w:t>
            </w:r>
            <w:r>
              <w:rPr>
                <w:rFonts w:ascii="Times New Roman"/>
                <w:b w:val="false"/>
                <w:i w:val="false"/>
                <w:color w:val="1b1b1b"/>
                <w:sz w:val="24"/>
                <w:lang w:val="pl-PL"/>
              </w:rPr>
              <w:t>art. 27a</w:t>
            </w:r>
            <w:r>
              <w:rPr>
                <w:rFonts w:ascii="Times New Roman"/>
                <w:b w:val="false"/>
                <w:i w:val="false"/>
                <w:color w:val="000000"/>
                <w:sz w:val="24"/>
                <w:lang w:val="pl-PL"/>
              </w:rPr>
              <w:t xml:space="preserve"> ustawy z dnia 8 września 2006 r. o Państwowym Ratownictwie Medycznym (Dz. U. z 2026 r. poz. 141)</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Jednostki organizacyjne publicznej służby krwi, o których mowa w </w:t>
            </w:r>
            <w:r>
              <w:rPr>
                <w:rFonts w:ascii="Times New Roman"/>
                <w:b w:val="false"/>
                <w:i w:val="false"/>
                <w:color w:val="1b1b1b"/>
                <w:sz w:val="24"/>
                <w:lang w:val="pl-PL"/>
              </w:rPr>
              <w:t>art. 4 ust. 3 pkt 2</w:t>
            </w:r>
            <w:r>
              <w:rPr>
                <w:rFonts w:ascii="Times New Roman"/>
                <w:b w:val="false"/>
                <w:i w:val="false"/>
                <w:color w:val="000000"/>
                <w:sz w:val="24"/>
                <w:lang w:val="pl-PL"/>
              </w:rPr>
              <w:t xml:space="preserve"> ustawy z dnia 22 sierpnia 1997 r. o publicznej służbie krwi (Dz. U. z 2024 r. poz. 1782)</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udzielające świadczeń opieki zdrowotnej będące podwykonawcą dla podmiotów kluczowych lub podmiotów ważnych w sektorze ochrona zdrowia, w rozumieniu </w:t>
            </w:r>
            <w:r>
              <w:rPr>
                <w:rFonts w:ascii="Times New Roman"/>
                <w:b w:val="false"/>
                <w:i w:val="false"/>
                <w:color w:val="1b1b1b"/>
                <w:sz w:val="24"/>
                <w:lang w:val="pl-PL"/>
              </w:rPr>
              <w:t>art. 133</w:t>
            </w:r>
            <w:r>
              <w:rPr>
                <w:rFonts w:ascii="Times New Roman"/>
                <w:b w:val="false"/>
                <w:i w:val="false"/>
                <w:color w:val="000000"/>
                <w:sz w:val="24"/>
                <w:lang w:val="pl-PL"/>
              </w:rPr>
              <w:t xml:space="preserve"> ustawy z dnia 27 sierpnia 2004 r. o świadczeniach opieki zdrowotnej finansowanych ze środków publicznych (Dz. U. z 2025 r. poz. 1461, 1537 i 1739 oraz z 2026 r. poz. 26 i 203)</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Świadczeniodawcy posiadający w swojej strukturze organizacyjnej</w:t>
            </w:r>
          </w:p>
          <w:p>
            <w:pPr>
              <w:spacing w:before="25" w:after="0"/>
              <w:ind w:left="0"/>
              <w:jc w:val="left"/>
              <w:textAlignment w:val="auto"/>
            </w:pPr>
            <w:r>
              <w:rPr>
                <w:rFonts w:ascii="Times New Roman"/>
                <w:b w:val="false"/>
                <w:i w:val="false"/>
                <w:color w:val="000000"/>
                <w:sz w:val="24"/>
                <w:lang w:val="pl-PL"/>
              </w:rPr>
              <w:t>Szpitalny Oddział Ratunkowy, Centrum Urazowe lub Centrum Urazowe dla Dzieci</w:t>
            </w:r>
          </w:p>
        </w:tc>
      </w:tr>
      <w:tr>
        <w:trPr>
          <w:trHeight w:val="45" w:hRule="atLeast"/>
        </w:trPr>
        <w:tc>
          <w:tcPr>
            <w:tcW w:w="0" w:type="auto"/>
            <w:vMerge/>
            <w:tcBorders>
              <w:top w:val="nil"/>
              <w:bottom w:val="single" w:color="000000" w:sz="8"/>
              <w:right w:val="single" w:color="000000" w:sz="8"/>
            </w:tcBorders>
          </w:tcP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i dystrybucja substancji czynnych, produktów leczniczych i wyrobów medycznych</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Urząd Rejestracji Produktów Leczniczych, Wyrobów Medycznych i Produktów Biobójczych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Urzędy obsługujące organy Inspekcji Farmaceutycznej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prowadzące działalność badawczo-rozwojową w zakresie produktów leczniczych zdefiniowanych w </w:t>
            </w:r>
            <w:r>
              <w:rPr>
                <w:rFonts w:ascii="Times New Roman"/>
                <w:b w:val="false"/>
                <w:i w:val="false"/>
                <w:color w:val="1b1b1b"/>
                <w:sz w:val="24"/>
                <w:lang w:val="pl-PL"/>
              </w:rPr>
              <w:t>art. 1 pkt 2</w:t>
            </w:r>
            <w:r>
              <w:rPr>
                <w:rFonts w:ascii="Times New Roman"/>
                <w:b w:val="false"/>
                <w:i w:val="false"/>
                <w:color w:val="000000"/>
                <w:sz w:val="24"/>
                <w:lang w:val="pl-PL"/>
              </w:rPr>
              <w:t xml:space="preserve"> dyrektywy</w:t>
            </w:r>
          </w:p>
          <w:p>
            <w:pPr>
              <w:spacing w:before="25" w:after="0"/>
              <w:ind w:left="0"/>
              <w:jc w:val="left"/>
              <w:textAlignment w:val="auto"/>
            </w:pPr>
            <w:r>
              <w:rPr>
                <w:rFonts w:ascii="Times New Roman"/>
                <w:b w:val="false"/>
                <w:i w:val="false"/>
                <w:color w:val="000000"/>
                <w:sz w:val="24"/>
                <w:lang w:val="pl-PL"/>
              </w:rPr>
              <w:t>2001/83/WE Parlamentu Europejskiego i Rady z dnia 6 listopada 2001 r. w sprawie wspólnotowego kodeksu odnoszącego się do produktów leczniczych stosowanych u ludzi (Dz. Urz. UE L 311 z 28.11.2001, str. 67, z późn. zm.)</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produkujące podstawowe substancje farmaceutyczne oraz leki i pozostałe wyroby farmaceutyczne, o których mowa w sekcji C dział 21 klasyfikacji NACE Rev. 2</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produkujące wyroby medyczne uznane za mające krytyczne znaczenie podczas danego stanu zagrożenia zdrowia publicznego ("wykaz wyrobów medycznych o krytycznym znaczeniu w przypadku stanu zagrożenia zdrowia publicznego") w rozumieniu </w:t>
            </w:r>
            <w:r>
              <w:rPr>
                <w:rFonts w:ascii="Times New Roman"/>
                <w:b w:val="false"/>
                <w:i w:val="false"/>
                <w:color w:val="1b1b1b"/>
                <w:sz w:val="24"/>
                <w:lang w:val="pl-PL"/>
              </w:rPr>
              <w:t>art. 22</w:t>
            </w:r>
            <w:r>
              <w:rPr>
                <w:rFonts w:ascii="Times New Roman"/>
                <w:b w:val="false"/>
                <w:i w:val="false"/>
                <w:color w:val="000000"/>
                <w:sz w:val="24"/>
                <w:lang w:val="pl-PL"/>
              </w:rPr>
              <w:t xml:space="preserve"> rozporządzenia Parlamentu Europejskiego i Rady (UE) 2022/123 z dnia 25 stycznia 2022 r. w sprawie wzmocnienia roli Europejskiej Agencji Leków w zakresie gotowości na wypadek sytuacji kryzysowej i zarządzania kryzysowego w odniesieniu do produktów leczniczych i wyrobów medycznych (Dz. Urz. UE L 20 z 31.01.2022, str. 1, z późn. zm.)</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Przedsiębiorca prowadzący działalność polegającą na prowadzeniu hurtowni farmaceutycznej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 (Dz. U. z 2025 r. poz. 750, 905, 924, 1416, 1537 i 1795)</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lub podmiot prowadzący działalność gospodarczą w państwie członkowskim Unii Europejskiej lub państwie członkowskim Europejskiego Porozumienia o Wolnym Handlu (EFTA) - stronie umowy o Europejskim Obszarze Gospodarczym, który uzyskał pozwolenie na dopuszczenie do obrotu produktu leczniczego</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Importer produktu leczniczego lub substancji czynnej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Wytwórca produktu leczniczego lub substancji czynnej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Importer równoległy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w:t>
            </w:r>
          </w:p>
          <w:p>
            <w:pPr>
              <w:spacing w:before="25" w:after="0"/>
              <w:ind w:left="0"/>
              <w:jc w:val="left"/>
              <w:textAlignment w:val="auto"/>
            </w:pPr>
            <w:r>
              <w:rPr>
                <w:rFonts w:ascii="Times New Roman"/>
                <w:b w:val="false"/>
                <w:i w:val="false"/>
                <w:color w:val="000000"/>
                <w:sz w:val="24"/>
                <w:lang w:val="pl-PL"/>
              </w:rPr>
              <w:t>Prawo farmaceutyczne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Dystrybutor substancji czynnej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Przedsiębiorca prowadzący działalność w formie apteki ogólnodostępnej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 Prawo farmaceutyczne</w:t>
            </w:r>
          </w:p>
        </w:tc>
      </w:tr>
      <w:tr>
        <w:trPr>
          <w:trHeight w:val="45" w:hRule="atLeast"/>
        </w:trPr>
        <w:tc>
          <w:tcPr>
            <w:tcW w:w="201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Zaopatrzenie w wodę pitną i jej dystrybucja</w:t>
            </w:r>
          </w:p>
        </w:tc>
        <w:tc>
          <w:tcPr>
            <w:tcW w:w="1927" w:type="dxa"/>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dostarczający wodę przeznaczoną do spożycia przez ludzi, w tym przedsiębiorstwo wodociągowo-kanalizacyjne, o którym mowa w </w:t>
            </w:r>
            <w:r>
              <w:rPr>
                <w:rFonts w:ascii="Times New Roman"/>
                <w:b w:val="false"/>
                <w:i w:val="false"/>
                <w:color w:val="1b1b1b"/>
                <w:sz w:val="24"/>
                <w:lang w:val="pl-PL"/>
              </w:rPr>
              <w:t>art. 2 pkt 4</w:t>
            </w:r>
            <w:r>
              <w:rPr>
                <w:rFonts w:ascii="Times New Roman"/>
                <w:b w:val="false"/>
                <w:i w:val="false"/>
                <w:color w:val="000000"/>
                <w:sz w:val="24"/>
                <w:lang w:val="pl-PL"/>
              </w:rPr>
              <w:t xml:space="preserve"> ustawy z dnia 7 czerwca 2001 r. o zbiorowym zaopatrzeniu w wodę i zbiorowym odprowadzaniu ścieków (Dz. U. z 2024 r. poz. 757), z wyłączeniem podmiotów, dla których dostarczanie wody przeznaczonej do spożycia przez ludzi jest inną niż istotną częścią ich ogólnej działalności</w:t>
            </w:r>
          </w:p>
        </w:tc>
      </w:tr>
      <w:tr>
        <w:trPr>
          <w:trHeight w:val="45" w:hRule="atLeast"/>
        </w:trPr>
        <w:tc>
          <w:tcPr>
            <w:tcW w:w="201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Zbiorowe odprowadzanie ścieków</w:t>
            </w:r>
          </w:p>
        </w:tc>
        <w:tc>
          <w:tcPr>
            <w:tcW w:w="1927" w:type="dxa"/>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 odprowadzający lub oczyszczający ścieki, w tym przedsiębiorstwo wodociągowo-kanalizacyjne, o którym mowa w </w:t>
            </w:r>
            <w:r>
              <w:rPr>
                <w:rFonts w:ascii="Times New Roman"/>
                <w:b w:val="false"/>
                <w:i w:val="false"/>
                <w:color w:val="1b1b1b"/>
                <w:sz w:val="24"/>
                <w:lang w:val="pl-PL"/>
              </w:rPr>
              <w:t>art. 2 pkt 4</w:t>
            </w:r>
            <w:r>
              <w:rPr>
                <w:rFonts w:ascii="Times New Roman"/>
                <w:b w:val="false"/>
                <w:i w:val="false"/>
                <w:color w:val="000000"/>
                <w:sz w:val="24"/>
                <w:lang w:val="pl-PL"/>
              </w:rPr>
              <w:t xml:space="preserve"> ustawy z dnia 7 czerwca 2001 r. o zbiorowym zaopatrzeniu w wodę i zbiorowym odprowadzaniu ścieków, z wyłączeniem podmiotów, dla których odprowadzanie lub oczyszczanie ścieków jest inną niż istotna częścią ich ogólnej działalności</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Infrastruktura cyfrowa</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Infrastruktura cyfrowa z wyłączeniem komunikacji elektronicznej</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punktu wymiany ruchu internetowego</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usług DNS, z wyłączeniem operatorów głównych serwerów nazw</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Rejestr nazw domen najwyższego poziomu (TLD)</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chmury obliczeniowej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usług centrum przetwarzania danych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sieci dostarczania treści</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usług zaufania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 świadczący usługę rejestracji nazw domen</w:t>
            </w:r>
          </w:p>
        </w:tc>
      </w:tr>
      <w:tr>
        <w:trPr>
          <w:trHeight w:val="45" w:hRule="atLeast"/>
        </w:trPr>
        <w:tc>
          <w:tcPr>
            <w:tcW w:w="0" w:type="auto"/>
            <w:vMerge/>
            <w:tcBorders>
              <w:top w:val="nil"/>
              <w:bottom w:val="single" w:color="000000" w:sz="8"/>
              <w:right w:val="single" w:color="000000" w:sz="8"/>
            </w:tcBorders>
          </w:tcPr>
          <w:p/>
        </w:tc>
        <w:tc>
          <w:tcPr>
            <w:tcW w:w="1927"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Komunikacja elektroniczna</w:t>
            </w: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komunikacji elektronicznej</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Zarządzanie usługami ICT</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usług zarządzanych</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usług zarządzanych w zakresie cyberbezpieczeństwa</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Przestrzeń kosmiczna</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Operator infrastruktury naziemnej, który wspiera świadczenie usług kosmicznych, z wyjątkiem operatora, o którym mowa w </w:t>
            </w:r>
            <w:r>
              <w:rPr>
                <w:rFonts w:ascii="Times New Roman"/>
                <w:b w:val="false"/>
                <w:i w:val="false"/>
                <w:color w:val="1b1b1b"/>
                <w:sz w:val="24"/>
                <w:lang w:val="pl-PL"/>
              </w:rPr>
              <w:t>art. 2 pkt 40 lit. b</w:t>
            </w:r>
            <w:r>
              <w:rPr>
                <w:rFonts w:ascii="Times New Roman"/>
                <w:b w:val="false"/>
                <w:i w:val="false"/>
                <w:color w:val="000000"/>
                <w:sz w:val="24"/>
                <w:lang w:val="pl-PL"/>
              </w:rPr>
              <w:t xml:space="preserve"> ustawy z dnia 12 lipca 2024 r. - Prawo komunikacji elektronicznej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Polska Agencja Kosmiczna</w:t>
            </w:r>
          </w:p>
        </w:tc>
      </w:tr>
      <w:tr>
        <w:trPr>
          <w:trHeight w:val="45" w:hRule="atLeast"/>
        </w:trPr>
        <w:tc>
          <w:tcPr>
            <w:tcW w:w="201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publiczne</w:t>
            </w:r>
          </w:p>
        </w:tc>
        <w:tc>
          <w:tcPr>
            <w:tcW w:w="1927" w:type="dxa"/>
            <w:vMerge w:val="restart"/>
            <w:tcBorders>
              <w:bottom w:val="single" w:color="000000" w:sz="8"/>
              <w:right w:val="single" w:color="000000" w:sz="8"/>
            </w:tcBorders>
            <w:tcMar>
              <w:top w:w="15" w:type="dxa"/>
              <w:left w:w="15" w:type="dxa"/>
              <w:bottom w:w="15" w:type="dxa"/>
              <w:right w:w="15" w:type="dxa"/>
            </w:tcMar>
            <w:vAlign w:val="center"/>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1) Podmioty z uwzględnieniem pkt 2-4:</w:t>
            </w:r>
          </w:p>
          <w:p>
            <w:pPr>
              <w:spacing w:before="25" w:after="0"/>
              <w:ind w:left="0"/>
              <w:jc w:val="left"/>
              <w:textAlignment w:val="auto"/>
            </w:pPr>
            <w:r>
              <w:rPr>
                <w:rFonts w:ascii="Times New Roman"/>
                <w:b w:val="false"/>
                <w:i w:val="false"/>
                <w:color w:val="000000"/>
                <w:sz w:val="24"/>
                <w:lang w:val="pl-PL"/>
              </w:rPr>
              <w:t xml:space="preserve">a) jednostki sektora finansów publicznych, o których mowa w </w:t>
            </w:r>
            <w:r>
              <w:rPr>
                <w:rFonts w:ascii="Times New Roman"/>
                <w:b w:val="false"/>
                <w:i w:val="false"/>
                <w:color w:val="1b1b1b"/>
                <w:sz w:val="24"/>
                <w:lang w:val="pl-PL"/>
              </w:rPr>
              <w:t>art. 9 pkt 1</w:t>
            </w:r>
            <w:r>
              <w:rPr>
                <w:rFonts w:ascii="Times New Roman"/>
                <w:b w:val="false"/>
                <w:i w:val="false"/>
                <w:color w:val="000000"/>
                <w:sz w:val="24"/>
                <w:lang w:val="pl-PL"/>
              </w:rPr>
              <w:t xml:space="preserve"> ustawy z dnia 27 sierpnia 2009 r. o finansach publicznych, oraz urzędy je obsługujące,</w:t>
            </w:r>
          </w:p>
          <w:p>
            <w:pPr>
              <w:spacing w:before="25" w:after="0"/>
              <w:ind w:left="0"/>
              <w:jc w:val="left"/>
              <w:textAlignment w:val="auto"/>
            </w:pPr>
            <w:r>
              <w:rPr>
                <w:rFonts w:ascii="Times New Roman"/>
                <w:b w:val="false"/>
                <w:i w:val="false"/>
                <w:color w:val="000000"/>
                <w:sz w:val="24"/>
                <w:lang w:val="pl-PL"/>
              </w:rPr>
              <w:t xml:space="preserve">b) jednostki sektora finansów publicznych, o których mowa w </w:t>
            </w:r>
            <w:r>
              <w:rPr>
                <w:rFonts w:ascii="Times New Roman"/>
                <w:b w:val="false"/>
                <w:i w:val="false"/>
                <w:color w:val="1b1b1b"/>
                <w:sz w:val="24"/>
                <w:lang w:val="pl-PL"/>
              </w:rPr>
              <w:t>art. 9 pkt 3</w:t>
            </w:r>
            <w:r>
              <w:rPr>
                <w:rFonts w:ascii="Times New Roman"/>
                <w:b w:val="false"/>
                <w:i w:val="false"/>
                <w:color w:val="000000"/>
                <w:sz w:val="24"/>
                <w:lang w:val="pl-PL"/>
              </w:rPr>
              <w:t xml:space="preserve">, </w:t>
            </w:r>
            <w:r>
              <w:rPr>
                <w:rFonts w:ascii="Times New Roman"/>
                <w:b w:val="false"/>
                <w:i w:val="false"/>
                <w:color w:val="1b1b1b"/>
                <w:sz w:val="24"/>
                <w:lang w:val="pl-PL"/>
              </w:rPr>
              <w:t>5-6</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ustawy z dnia 27 sierpnia 2009 r. o finansach publicznych,</w:t>
            </w:r>
          </w:p>
          <w:p>
            <w:pPr>
              <w:spacing w:before="25" w:after="0"/>
              <w:ind w:left="0"/>
              <w:jc w:val="left"/>
              <w:textAlignment w:val="auto"/>
            </w:pPr>
            <w:r>
              <w:rPr>
                <w:rFonts w:ascii="Times New Roman"/>
                <w:b w:val="false"/>
                <w:i w:val="false"/>
                <w:color w:val="000000"/>
                <w:sz w:val="24"/>
                <w:lang w:val="pl-PL"/>
              </w:rPr>
              <w:t>c) państwowe instytucje kultury,</w:t>
            </w:r>
          </w:p>
          <w:p>
            <w:pPr>
              <w:spacing w:before="25" w:after="0"/>
              <w:ind w:left="0"/>
              <w:jc w:val="left"/>
              <w:textAlignment w:val="auto"/>
            </w:pPr>
            <w:r>
              <w:rPr>
                <w:rFonts w:ascii="Times New Roman"/>
                <w:b w:val="false"/>
                <w:i w:val="false"/>
                <w:color w:val="000000"/>
                <w:sz w:val="24"/>
                <w:lang w:val="pl-PL"/>
              </w:rPr>
              <w:t>d) instytuty badawcze,</w:t>
            </w:r>
          </w:p>
          <w:p>
            <w:pPr>
              <w:spacing w:before="25" w:after="0"/>
              <w:ind w:left="0"/>
              <w:jc w:val="left"/>
              <w:textAlignment w:val="auto"/>
            </w:pPr>
            <w:r>
              <w:rPr>
                <w:rFonts w:ascii="Times New Roman"/>
                <w:b w:val="false"/>
                <w:i w:val="false"/>
                <w:color w:val="000000"/>
                <w:sz w:val="24"/>
                <w:lang w:val="pl-PL"/>
              </w:rPr>
              <w:t>e) Narodowy Bank Polski,</w:t>
            </w:r>
          </w:p>
          <w:p>
            <w:pPr>
              <w:spacing w:before="25" w:after="0"/>
              <w:ind w:left="0"/>
              <w:jc w:val="left"/>
              <w:textAlignment w:val="auto"/>
            </w:pPr>
            <w:r>
              <w:rPr>
                <w:rFonts w:ascii="Times New Roman"/>
                <w:b w:val="false"/>
                <w:i w:val="false"/>
                <w:color w:val="000000"/>
                <w:sz w:val="24"/>
                <w:lang w:val="pl-PL"/>
              </w:rPr>
              <w:t>f) Bank Gospodarstwa Krajowego,</w:t>
            </w:r>
          </w:p>
          <w:p>
            <w:pPr>
              <w:spacing w:before="25" w:after="0"/>
              <w:ind w:left="0"/>
              <w:jc w:val="left"/>
              <w:textAlignment w:val="auto"/>
            </w:pPr>
            <w:r>
              <w:rPr>
                <w:rFonts w:ascii="Times New Roman"/>
                <w:b w:val="false"/>
                <w:i w:val="false"/>
                <w:color w:val="000000"/>
                <w:sz w:val="24"/>
                <w:lang w:val="pl-PL"/>
              </w:rPr>
              <w:t>g) Urząd Dozoru Technicznego,</w:t>
            </w:r>
          </w:p>
          <w:p>
            <w:pPr>
              <w:spacing w:before="25" w:after="0"/>
              <w:ind w:left="0"/>
              <w:jc w:val="left"/>
              <w:textAlignment w:val="auto"/>
            </w:pPr>
            <w:r>
              <w:rPr>
                <w:rFonts w:ascii="Times New Roman"/>
                <w:b w:val="false"/>
                <w:i w:val="false"/>
                <w:color w:val="000000"/>
                <w:sz w:val="24"/>
                <w:lang w:val="pl-PL"/>
              </w:rPr>
              <w:t>h) Polska Agencja Żeglugi Powietrznej,</w:t>
            </w:r>
          </w:p>
          <w:p>
            <w:pPr>
              <w:spacing w:before="25" w:after="0"/>
              <w:ind w:left="0"/>
              <w:jc w:val="left"/>
              <w:textAlignment w:val="auto"/>
            </w:pPr>
            <w:r>
              <w:rPr>
                <w:rFonts w:ascii="Times New Roman"/>
                <w:b w:val="false"/>
                <w:i w:val="false"/>
                <w:color w:val="000000"/>
                <w:sz w:val="24"/>
                <w:lang w:val="pl-PL"/>
              </w:rPr>
              <w:t>i) Polskie Centrum Akredytacji,</w:t>
            </w:r>
          </w:p>
          <w:p>
            <w:pPr>
              <w:spacing w:before="25" w:after="0"/>
              <w:ind w:left="0"/>
              <w:jc w:val="left"/>
              <w:textAlignment w:val="auto"/>
            </w:pPr>
            <w:r>
              <w:rPr>
                <w:rFonts w:ascii="Times New Roman"/>
                <w:b w:val="false"/>
                <w:i w:val="false"/>
                <w:color w:val="000000"/>
                <w:sz w:val="24"/>
                <w:lang w:val="pl-PL"/>
              </w:rPr>
              <w:t>j) Urząd Komisji Nadzoru Finansowego,</w:t>
            </w:r>
          </w:p>
          <w:p>
            <w:pPr>
              <w:spacing w:before="25" w:after="0"/>
              <w:ind w:left="0"/>
              <w:jc w:val="left"/>
              <w:textAlignment w:val="auto"/>
            </w:pPr>
            <w:r>
              <w:rPr>
                <w:rFonts w:ascii="Times New Roman"/>
                <w:b w:val="false"/>
                <w:i w:val="false"/>
                <w:color w:val="000000"/>
                <w:sz w:val="24"/>
                <w:lang w:val="pl-PL"/>
              </w:rPr>
              <w:t>k) Polska Agencja Prasowa,</w:t>
            </w:r>
          </w:p>
          <w:p>
            <w:pPr>
              <w:spacing w:before="25" w:after="0"/>
              <w:ind w:left="0"/>
              <w:jc w:val="left"/>
              <w:textAlignment w:val="auto"/>
            </w:pPr>
            <w:r>
              <w:rPr>
                <w:rFonts w:ascii="Times New Roman"/>
                <w:b w:val="false"/>
                <w:i w:val="false"/>
                <w:color w:val="000000"/>
                <w:sz w:val="24"/>
                <w:lang w:val="pl-PL"/>
              </w:rPr>
              <w:t xml:space="preserve">l) Państwowe Gospodarstwo Wodne Wody Polskie,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20 lipca 2017 r. - Prawo wodne (Dz. U. z 2025 r. poz. 960 i 1535),</w:t>
            </w:r>
          </w:p>
          <w:p>
            <w:pPr>
              <w:spacing w:before="25" w:after="0"/>
              <w:ind w:left="0"/>
              <w:jc w:val="left"/>
              <w:textAlignment w:val="auto"/>
            </w:pPr>
            <w:r>
              <w:rPr>
                <w:rFonts w:ascii="Times New Roman"/>
                <w:b w:val="false"/>
                <w:i w:val="false"/>
                <w:color w:val="000000"/>
                <w:sz w:val="24"/>
                <w:lang w:val="pl-PL"/>
              </w:rPr>
              <w:t>m) Polski Fundusz Rozwoju i inne instytucje rozwoju, o których mowa w art. 2 ust. 1 pkt 1 i 3-6 ustawy z dnia 4 lipca 2019 r. o systemie instytucji rozwoju,</w:t>
            </w:r>
          </w:p>
          <w:p>
            <w:pPr>
              <w:spacing w:before="25" w:after="0"/>
              <w:ind w:left="0"/>
              <w:jc w:val="left"/>
              <w:textAlignment w:val="auto"/>
            </w:pPr>
            <w:r>
              <w:rPr>
                <w:rFonts w:ascii="Times New Roman"/>
                <w:b w:val="false"/>
                <w:i w:val="false"/>
                <w:color w:val="000000"/>
                <w:sz w:val="24"/>
                <w:lang w:val="pl-PL"/>
              </w:rPr>
              <w:t>n) Narodowy Fundusz Ochrony Środowiska i Gospodarki Wodnej,</w:t>
            </w:r>
          </w:p>
          <w:p>
            <w:pPr>
              <w:spacing w:before="25" w:after="0"/>
              <w:ind w:left="0"/>
              <w:jc w:val="left"/>
              <w:textAlignment w:val="auto"/>
            </w:pPr>
            <w:r>
              <w:rPr>
                <w:rFonts w:ascii="Times New Roman"/>
                <w:b w:val="false"/>
                <w:i w:val="false"/>
                <w:color w:val="000000"/>
                <w:sz w:val="24"/>
                <w:lang w:val="pl-PL"/>
              </w:rPr>
              <w:t>o) wojewódzkie fundusze ochrony środowiska i gospodarki wodnej,</w:t>
            </w:r>
          </w:p>
          <w:p>
            <w:pPr>
              <w:spacing w:before="25" w:after="0"/>
              <w:ind w:left="0"/>
              <w:jc w:val="left"/>
              <w:textAlignment w:val="auto"/>
            </w:pPr>
            <w:r>
              <w:rPr>
                <w:rFonts w:ascii="Times New Roman"/>
                <w:b w:val="false"/>
                <w:i w:val="false"/>
                <w:color w:val="000000"/>
                <w:sz w:val="24"/>
                <w:lang w:val="pl-PL"/>
              </w:rPr>
              <w:t>p) Państwowy Fundusz Rehabilitacji Osób Niepełnosprawnych,</w:t>
            </w:r>
          </w:p>
          <w:p>
            <w:pPr>
              <w:spacing w:before="25" w:after="0"/>
              <w:ind w:left="0"/>
              <w:jc w:val="left"/>
              <w:textAlignment w:val="auto"/>
            </w:pPr>
            <w:r>
              <w:rPr>
                <w:rFonts w:ascii="Times New Roman"/>
                <w:b w:val="false"/>
                <w:i w:val="false"/>
                <w:color w:val="000000"/>
                <w:sz w:val="24"/>
                <w:lang w:val="pl-PL"/>
              </w:rPr>
              <w:t>q) Zakład Unieszkodliwiania Odpadów Promieniotwórczych z siedzibą w Otwocku-Świerku,</w:t>
            </w:r>
          </w:p>
          <w:p>
            <w:pPr>
              <w:spacing w:before="25" w:after="0"/>
              <w:ind w:left="0"/>
              <w:jc w:val="left"/>
              <w:textAlignment w:val="auto"/>
            </w:pPr>
            <w:r>
              <w:rPr>
                <w:rFonts w:ascii="Times New Roman"/>
                <w:b w:val="false"/>
                <w:i w:val="false"/>
                <w:color w:val="000000"/>
                <w:sz w:val="24"/>
                <w:lang w:val="pl-PL"/>
              </w:rPr>
              <w:t>r) państwowa osoba prawna, wobec której wydano decyzję, o której mowa w art. 7m,</w:t>
            </w:r>
          </w:p>
          <w:p>
            <w:pPr>
              <w:spacing w:before="25" w:after="0"/>
              <w:ind w:left="0"/>
              <w:jc w:val="left"/>
              <w:textAlignment w:val="auto"/>
            </w:pPr>
            <w:r>
              <w:rPr>
                <w:rFonts w:ascii="Times New Roman"/>
                <w:b w:val="false"/>
                <w:i w:val="false"/>
                <w:color w:val="000000"/>
                <w:sz w:val="24"/>
                <w:lang w:val="pl-PL"/>
              </w:rPr>
              <w:t>s) spółka, o której mowa w art. 2 ust. 1 ustawy z dnia 29 kwietnia 2016 r. o szczególnych zasadach wykonywania niektórych zadań dotyczących informatyzacji w zakresie działów administracji rządowej budżet i finanse publiczne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2) w odniesieniu do samorządu województwa: jednostki budżetowe oraz zakłady budżetowe z wyłączeniem:</w:t>
            </w:r>
          </w:p>
          <w:p>
            <w:pPr>
              <w:spacing w:before="25" w:after="0"/>
              <w:ind w:left="0"/>
              <w:jc w:val="left"/>
              <w:textAlignment w:val="auto"/>
            </w:pPr>
            <w:r>
              <w:rPr>
                <w:rFonts w:ascii="Times New Roman"/>
                <w:b w:val="false"/>
                <w:i w:val="false"/>
                <w:color w:val="000000"/>
                <w:sz w:val="24"/>
                <w:lang w:val="pl-PL"/>
              </w:rPr>
              <w:t xml:space="preserve">a) jednostek organizacyjnych, o których mowa w </w:t>
            </w:r>
            <w:r>
              <w:rPr>
                <w:rFonts w:ascii="Times New Roman"/>
                <w:b w:val="false"/>
                <w:i w:val="false"/>
                <w:color w:val="1b1b1b"/>
                <w:sz w:val="24"/>
                <w:lang w:val="pl-PL"/>
              </w:rPr>
              <w:t>art. 2</w:t>
            </w:r>
            <w:r>
              <w:rPr>
                <w:rFonts w:ascii="Times New Roman"/>
                <w:b w:val="false"/>
                <w:i w:val="false"/>
                <w:color w:val="000000"/>
                <w:sz w:val="24"/>
                <w:lang w:val="pl-PL"/>
              </w:rPr>
              <w:t xml:space="preserve"> ustawy z dnia 14 grudnia 2016 r. - Prawo oświatowe (Dz. U. z 2025 r. poz. 1043, 1160 i 1837 oraz z 2026 r. poz. 187 i 203), oraz ich zespołów,</w:t>
            </w:r>
          </w:p>
          <w:p>
            <w:pPr>
              <w:spacing w:before="25" w:after="0"/>
              <w:ind w:left="0"/>
              <w:jc w:val="left"/>
              <w:textAlignment w:val="auto"/>
            </w:pPr>
            <w:r>
              <w:rPr>
                <w:rFonts w:ascii="Times New Roman"/>
                <w:b w:val="false"/>
                <w:i w:val="false"/>
                <w:color w:val="000000"/>
                <w:sz w:val="24"/>
                <w:lang w:val="pl-PL"/>
              </w:rPr>
              <w:t xml:space="preserve">b) jednostek organizacyjnych wspierania rodziny i systemu pieczy zastępczej, o których mowa w </w:t>
            </w:r>
            <w:r>
              <w:rPr>
                <w:rFonts w:ascii="Times New Roman"/>
                <w:b w:val="false"/>
                <w:i w:val="false"/>
                <w:color w:val="1b1b1b"/>
                <w:sz w:val="24"/>
                <w:lang w:val="pl-PL"/>
              </w:rPr>
              <w:t>art. 2 ust. 3</w:t>
            </w:r>
            <w:r>
              <w:rPr>
                <w:rFonts w:ascii="Times New Roman"/>
                <w:b w:val="false"/>
                <w:i w:val="false"/>
                <w:color w:val="000000"/>
                <w:sz w:val="24"/>
                <w:lang w:val="pl-PL"/>
              </w:rPr>
              <w:t xml:space="preserve"> ustawy z dnia 9 czerwca 2011 r. o wspieraniu rodziny i systemie pieczy zastępczej (Dz. U. z 2025 r. poz. 49 i 1301 oraz z 2026 r. poz. 187 i 203),</w:t>
            </w:r>
          </w:p>
          <w:p>
            <w:pPr>
              <w:spacing w:before="25" w:after="0"/>
              <w:ind w:left="0"/>
              <w:jc w:val="left"/>
              <w:textAlignment w:val="auto"/>
            </w:pPr>
            <w:r>
              <w:rPr>
                <w:rFonts w:ascii="Times New Roman"/>
                <w:b w:val="false"/>
                <w:i w:val="false"/>
                <w:color w:val="000000"/>
                <w:sz w:val="24"/>
                <w:lang w:val="pl-PL"/>
              </w:rPr>
              <w:t xml:space="preserve">c) jednostek organizacyjnych, o których mowa w </w:t>
            </w:r>
            <w:r>
              <w:rPr>
                <w:rFonts w:ascii="Times New Roman"/>
                <w:b w:val="false"/>
                <w:i w:val="false"/>
                <w:color w:val="1b1b1b"/>
                <w:sz w:val="24"/>
                <w:lang w:val="pl-PL"/>
              </w:rPr>
              <w:t>art. 6 pkt 5</w:t>
            </w:r>
            <w:r>
              <w:rPr>
                <w:rFonts w:ascii="Times New Roman"/>
                <w:b w:val="false"/>
                <w:i w:val="false"/>
                <w:color w:val="000000"/>
                <w:sz w:val="24"/>
                <w:lang w:val="pl-PL"/>
              </w:rPr>
              <w:t xml:space="preserve"> ustawy z dnia 12 marca 2004 r. o pomocy społecznej, oprócz regionalnych ośrodków polityki społecznej,</w:t>
            </w:r>
          </w:p>
          <w:p>
            <w:pPr>
              <w:spacing w:before="25" w:after="0"/>
              <w:ind w:left="0"/>
              <w:jc w:val="left"/>
              <w:textAlignment w:val="auto"/>
            </w:pPr>
            <w:r>
              <w:rPr>
                <w:rFonts w:ascii="Times New Roman"/>
                <w:b w:val="false"/>
                <w:i w:val="false"/>
                <w:color w:val="000000"/>
                <w:sz w:val="24"/>
                <w:lang w:val="pl-PL"/>
              </w:rPr>
              <w:t>d) wojewódzkich urzędów pracy,</w:t>
            </w:r>
          </w:p>
          <w:p>
            <w:pPr>
              <w:spacing w:before="25" w:after="0"/>
              <w:ind w:left="0"/>
              <w:jc w:val="left"/>
              <w:textAlignment w:val="auto"/>
            </w:pPr>
            <w:r>
              <w:rPr>
                <w:rFonts w:ascii="Times New Roman"/>
                <w:b w:val="false"/>
                <w:i w:val="false"/>
                <w:color w:val="000000"/>
                <w:sz w:val="24"/>
                <w:lang w:val="pl-PL"/>
              </w:rPr>
              <w:t>e) parków krajobrazowych i ich zespołów,</w:t>
            </w:r>
          </w:p>
          <w:p>
            <w:pPr>
              <w:spacing w:before="25" w:after="0"/>
              <w:ind w:left="0"/>
              <w:jc w:val="left"/>
              <w:textAlignment w:val="auto"/>
            </w:pPr>
            <w:r>
              <w:rPr>
                <w:rFonts w:ascii="Times New Roman"/>
                <w:b w:val="false"/>
                <w:i w:val="false"/>
                <w:color w:val="000000"/>
                <w:sz w:val="24"/>
                <w:lang w:val="pl-PL"/>
              </w:rPr>
              <w:t xml:space="preserve">f) jednostek obsługujących, o których mowa w </w:t>
            </w:r>
            <w:r>
              <w:rPr>
                <w:rFonts w:ascii="Times New Roman"/>
                <w:b w:val="false"/>
                <w:i w:val="false"/>
                <w:color w:val="1b1b1b"/>
                <w:sz w:val="24"/>
                <w:lang w:val="pl-PL"/>
              </w:rPr>
              <w:t>art. 8d</w:t>
            </w:r>
            <w:r>
              <w:rPr>
                <w:rFonts w:ascii="Times New Roman"/>
                <w:b w:val="false"/>
                <w:i w:val="false"/>
                <w:color w:val="000000"/>
                <w:sz w:val="24"/>
                <w:lang w:val="pl-PL"/>
              </w:rPr>
              <w:t xml:space="preserve"> ustawy z dnia 5 czerwca 1998 r. o samorządzie województwa, w zakresie, w jakim prowadzą wspólną obsługę jednostek, o których mowa w lit. a-e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3) w odniesieniu do samorządu powiatu: starostwo powiatowe</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82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4) w odniesieniu do samorządu gminy: urząd gminy, jeżeli zatrudnia na dzień 1 stycznia danego roku w przeliczeniu na pełny wymiar czasu pracy na podstawie umowy o pracę co najmniej 50 osób</w:t>
            </w:r>
          </w:p>
        </w:tc>
      </w:tr>
    </w:tbl>
    <w:p>
      <w:pPr>
        <w:spacing w:after="0"/>
        <w:ind w:left="0"/>
        <w:jc w:val="left"/>
        <w:textAlignment w:val="auto"/>
      </w:pPr>
      <w:r>
        <w:rPr>
          <w:rFonts w:ascii="Times New Roman"/>
          <w:b w:val="false"/>
          <w:i w:val="false"/>
          <w:color w:val="000000"/>
          <w:sz w:val="24"/>
          <w:lang w:val="pl-PL"/>
        </w:rPr>
        <w:t>Zwiń tabelę</w:t>
      </w:r>
    </w:p>
    <w:p>
      <w:pPr>
        <w:spacing w:before="89" w:after="0"/>
        <w:ind w:left="0"/>
        <w:jc w:val="center"/>
        <w:textAlignment w:val="auto"/>
      </w:pPr>
      <w:r>
        <w:rPr>
          <w:rFonts w:ascii="Times New Roman"/>
          <w:b/>
          <w:i w:val="false"/>
          <w:color w:val="000000"/>
          <w:sz w:val="24"/>
          <w:lang w:val="pl-PL"/>
        </w:rPr>
        <w:t xml:space="preserve">ZAŁĄCZNIK Nr 2 </w:t>
      </w:r>
      <w:r>
        <w:rPr>
          <w:rFonts w:ascii="Times New Roman"/>
          <w:b/>
          <w:i w:val="false"/>
          <w:color w:val="000000"/>
          <w:sz w:val="24"/>
          <w:vertAlign w:val="superscript"/>
          <w:lang w:val="pl-PL"/>
        </w:rPr>
        <w:t>481</w:t>
      </w:r>
    </w:p>
    <w:p>
      <w:pPr>
        <w:spacing w:before="25" w:after="0"/>
        <w:ind w:left="0"/>
        <w:jc w:val="center"/>
        <w:textAlignment w:val="auto"/>
      </w:pPr>
      <w:r>
        <w:rPr>
          <w:rFonts w:ascii="Times New Roman"/>
          <w:b/>
          <w:i w:val="false"/>
          <w:color w:val="000000"/>
          <w:sz w:val="24"/>
          <w:lang w:val="pl-PL"/>
        </w:rPr>
        <w:t>SEKTORY WAŻNE</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2229"/>
        <w:gridCol w:w="2804"/>
        <w:gridCol w:w="10732"/>
      </w:tblGrid>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w:t>
            </w: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II</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III</w:t>
            </w:r>
          </w:p>
        </w:tc>
      </w:tr>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Sektor</w:t>
            </w: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Podsektor</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Rodzaj podmiotu</w:t>
            </w:r>
          </w:p>
        </w:tc>
      </w:tr>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Usługi pocztowe</w:t>
            </w:r>
          </w:p>
        </w:tc>
        <w:tc>
          <w:tcPr>
            <w:tcW w:w="2804" w:type="dxa"/>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Operator pocztowy, o którym mowa w </w:t>
            </w:r>
            <w:r>
              <w:rPr>
                <w:rFonts w:ascii="Times New Roman"/>
                <w:b w:val="false"/>
                <w:i w:val="false"/>
                <w:color w:val="1b1b1b"/>
                <w:sz w:val="24"/>
                <w:lang w:val="pl-PL"/>
              </w:rPr>
              <w:t>art. 3 pkt 12</w:t>
            </w:r>
            <w:r>
              <w:rPr>
                <w:rFonts w:ascii="Times New Roman"/>
                <w:b w:val="false"/>
                <w:i w:val="false"/>
                <w:color w:val="000000"/>
                <w:sz w:val="24"/>
                <w:lang w:val="pl-PL"/>
              </w:rPr>
              <w:t xml:space="preserve"> ustawy z dnia 23 listopada 2012 r. - Prawo pocztowe (Dz. U. z 2025 r. poz. 366, 820 i 1456)</w:t>
            </w:r>
          </w:p>
        </w:tc>
      </w:tr>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Inwestycje energetyki jądrowej</w:t>
            </w:r>
          </w:p>
        </w:tc>
        <w:tc>
          <w:tcPr>
            <w:tcW w:w="2804" w:type="dxa"/>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 będący inwestorem obiektu energetyki jądrowej określonego w art. 2 pkt 2 ustawy z dnia 29 czerwca 2011 r. o przygotowaniu i realizacji inwestycji w zakresie obiektów energetyki jądrowej oraz inwestycji towarzyszących, który uzyskał decyzję zasadniczą, o której mowa w art. 3a ust. 1 tej ustawy</w:t>
            </w:r>
          </w:p>
        </w:tc>
      </w:tr>
      <w:tr>
        <w:trPr>
          <w:trHeight w:val="45" w:hRule="atLeast"/>
        </w:trPr>
        <w:tc>
          <w:tcPr>
            <w:tcW w:w="22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Gospodarowanie odpadami</w:t>
            </w: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Zbieranie odpadów</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świadczące usługi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2012 r. o odpadach (Dz. U. z 2023 r. poz. 1587, z późn. zm. </w:t>
            </w:r>
            <w:r>
              <w:rPr>
                <w:rFonts w:ascii="Times New Roman"/>
                <w:b w:val="false"/>
                <w:i w:val="false"/>
                <w:color w:val="000000"/>
                <w:sz w:val="24"/>
                <w:vertAlign w:val="superscript"/>
                <w:lang w:val="pl-PL"/>
              </w:rPr>
              <w:t>482</w:t>
            </w:r>
            <w:r>
              <w:rPr>
                <w:rFonts w:ascii="Times New Roman"/>
                <w:b w:val="false"/>
                <w:i w:val="false"/>
                <w:color w:val="000000"/>
                <w:sz w:val="24"/>
                <w:lang w:val="pl-PL"/>
              </w:rPr>
              <w:t xml:space="preserve"> ), polegające na zbieraniu odpadów, zobowiązane do uzyskania wpisu w rejestrze, o którym mowa w </w:t>
            </w:r>
            <w:r>
              <w:rPr>
                <w:rFonts w:ascii="Times New Roman"/>
                <w:b w:val="false"/>
                <w:i w:val="false"/>
                <w:color w:val="1b1b1b"/>
                <w:sz w:val="24"/>
                <w:lang w:val="pl-PL"/>
              </w:rPr>
              <w:t>art. 49 ust. 1</w:t>
            </w:r>
            <w:r>
              <w:rPr>
                <w:rFonts w:ascii="Times New Roman"/>
                <w:b w:val="false"/>
                <w:i w:val="false"/>
                <w:color w:val="000000"/>
                <w:sz w:val="24"/>
                <w:lang w:val="pl-PL"/>
              </w:rPr>
              <w:t xml:space="preserve"> ustawy z dnia 14 grudnia 2012 r. o odpadach, z wyłączeniem przedsiębiorstw, dla których usługi te nie stanowią podstawowej działalności gospodarczej określonej zgodnie z przepisami wydanymi na podstawie </w:t>
            </w:r>
            <w:r>
              <w:rPr>
                <w:rFonts w:ascii="Times New Roman"/>
                <w:b w:val="false"/>
                <w:i w:val="false"/>
                <w:color w:val="1b1b1b"/>
                <w:sz w:val="24"/>
                <w:lang w:val="pl-PL"/>
              </w:rPr>
              <w:t>art. 40 ust. 2</w:t>
            </w:r>
            <w:r>
              <w:rPr>
                <w:rFonts w:ascii="Times New Roman"/>
                <w:b w:val="false"/>
                <w:i w:val="false"/>
                <w:color w:val="000000"/>
                <w:sz w:val="24"/>
                <w:lang w:val="pl-PL"/>
              </w:rPr>
              <w:t xml:space="preserve"> ustawy z dnia 29 czerwca 1995 r. o statystyce publicznej (Dz. U. z 2024 r. poz. 1799 oraz z 2025 r. poz. 1792)</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Transport odpadów</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świadczące usługi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2012 r. o odpadach, polegające na transporcie odpadów, zobowiązane do uzyskania wpisu w rejestrze, o którym mowa w art. 49 ust. 1 ustawy z dnia</w:t>
            </w:r>
          </w:p>
          <w:p>
            <w:pPr>
              <w:spacing w:before="25" w:after="0"/>
              <w:ind w:left="0"/>
              <w:jc w:val="left"/>
              <w:textAlignment w:val="auto"/>
            </w:pPr>
            <w:r>
              <w:rPr>
                <w:rFonts w:ascii="Times New Roman"/>
                <w:b w:val="false"/>
                <w:i w:val="false"/>
                <w:color w:val="000000"/>
                <w:sz w:val="24"/>
                <w:lang w:val="pl-PL"/>
              </w:rPr>
              <w:t xml:space="preserve">14 grudnia 2012 r. o odpadach, z wyłączeniem przedsiębiorstw, dla których usługi te nie stanowią podstawowej działalności gospodarczej określonej zgodnie z przepisami wydanymi na podstawie </w:t>
            </w:r>
            <w:r>
              <w:rPr>
                <w:rFonts w:ascii="Times New Roman"/>
                <w:b w:val="false"/>
                <w:i w:val="false"/>
                <w:color w:val="1b1b1b"/>
                <w:sz w:val="24"/>
                <w:lang w:val="pl-PL"/>
              </w:rPr>
              <w:t>art. 40 ust. 2</w:t>
            </w:r>
            <w:r>
              <w:rPr>
                <w:rFonts w:ascii="Times New Roman"/>
                <w:b w:val="false"/>
                <w:i w:val="false"/>
                <w:color w:val="000000"/>
                <w:sz w:val="24"/>
                <w:lang w:val="pl-PL"/>
              </w:rPr>
              <w:t xml:space="preserve"> ustawy z dnia 29 czerwca 1995 r. o statystyce publicznej</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Przetwarzanie odpadów, w tym sortowanie, wraz z nadzorem nad wymienionymi działaniami, a także późniejsze postępowanie z miejscami unieszkodliwiania odpadów</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świadczące usługi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2012 r. o odpadach, polegające na przetwarzaniu odpadów, w tym sortowaniu, wraz z nadzorem nad wymienionymi działaniami, a także podmioty świadczące usługi z późniejszym postępowaniem z miejscami unieszkodliwiania odpadów, zobowiązane do uzyskania wpisu w rejestrze, o którym mowa w </w:t>
            </w:r>
            <w:r>
              <w:rPr>
                <w:rFonts w:ascii="Times New Roman"/>
                <w:b w:val="false"/>
                <w:i w:val="false"/>
                <w:color w:val="1b1b1b"/>
                <w:sz w:val="24"/>
                <w:lang w:val="pl-PL"/>
              </w:rPr>
              <w:t>art. 49 ust. 1</w:t>
            </w:r>
            <w:r>
              <w:rPr>
                <w:rFonts w:ascii="Times New Roman"/>
                <w:b w:val="false"/>
                <w:i w:val="false"/>
                <w:color w:val="000000"/>
                <w:sz w:val="24"/>
                <w:lang w:val="pl-PL"/>
              </w:rPr>
              <w:t xml:space="preserve"> ustawy z dnia 14 grudnia 2012 r. o odpadach, z wyłączeniem przedsiębiorstw, dla których usługi te nie stanowią podstawowej działalności gospodarczej określonej zgodnie z przepisami wydanymi na podstawie art. 40 ust. 2 ustawy z dnia 29 czerwca 1995 r.</w:t>
            </w:r>
          </w:p>
          <w:p>
            <w:pPr>
              <w:spacing w:before="25" w:after="0"/>
              <w:ind w:left="0"/>
              <w:jc w:val="left"/>
              <w:textAlignment w:val="auto"/>
            </w:pPr>
            <w:r>
              <w:rPr>
                <w:rFonts w:ascii="Times New Roman"/>
                <w:b w:val="false"/>
                <w:i w:val="false"/>
                <w:color w:val="000000"/>
                <w:sz w:val="24"/>
                <w:lang w:val="pl-PL"/>
              </w:rPr>
              <w:t>o statystyce publicznej</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Działania wykonywane w charakterze sprzedawcy odpadów lub pośrednika w obrocie odpadami</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świadczące usługi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2012 r. o odpadach, polegające na działaniach wykonywanych w charakterze sprzedawcy odpadów lub pośrednika w obrocie odpadami, zobowiązane do uzyskania wpisu w rejestrze, o którym mowa w </w:t>
            </w:r>
            <w:r>
              <w:rPr>
                <w:rFonts w:ascii="Times New Roman"/>
                <w:b w:val="false"/>
                <w:i w:val="false"/>
                <w:color w:val="1b1b1b"/>
                <w:sz w:val="24"/>
                <w:lang w:val="pl-PL"/>
              </w:rPr>
              <w:t>art. 49 ust. 1</w:t>
            </w:r>
            <w:r>
              <w:rPr>
                <w:rFonts w:ascii="Times New Roman"/>
                <w:b w:val="false"/>
                <w:i w:val="false"/>
                <w:color w:val="000000"/>
                <w:sz w:val="24"/>
                <w:lang w:val="pl-PL"/>
              </w:rPr>
              <w:t xml:space="preserve"> ustawy z dnia 14 grudnia 2012 r. o odpadach, z wyłączeniem przedsiębiorstw, dla których usługi te nie stanowią podstawowej działalności gospodarczej określonej zgodnie z przepisami wydanymi na podstawie </w:t>
            </w:r>
            <w:r>
              <w:rPr>
                <w:rFonts w:ascii="Times New Roman"/>
                <w:b w:val="false"/>
                <w:i w:val="false"/>
                <w:color w:val="1b1b1b"/>
                <w:sz w:val="24"/>
                <w:lang w:val="pl-PL"/>
              </w:rPr>
              <w:t>art. 40 ust. 2</w:t>
            </w:r>
            <w:r>
              <w:rPr>
                <w:rFonts w:ascii="Times New Roman"/>
                <w:b w:val="false"/>
                <w:i w:val="false"/>
                <w:color w:val="000000"/>
                <w:sz w:val="24"/>
                <w:lang w:val="pl-PL"/>
              </w:rPr>
              <w:t xml:space="preserve"> ustawy z dnia 29 czerwca 1995 r. o statystyce publicznej</w:t>
            </w:r>
          </w:p>
        </w:tc>
      </w:tr>
      <w:tr>
        <w:trPr>
          <w:trHeight w:val="45" w:hRule="atLeast"/>
        </w:trPr>
        <w:tc>
          <w:tcPr>
            <w:tcW w:w="22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wytwarzanie i dystrybucja chemikaliów</w:t>
            </w:r>
          </w:p>
        </w:tc>
        <w:tc>
          <w:tcPr>
            <w:tcW w:w="2804" w:type="dxa"/>
            <w:vMerge w:val="restart"/>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zajmujące się produkcją substancji oraz dystrybucją substancji lub mieszanin, o których mowa w </w:t>
            </w:r>
            <w:r>
              <w:rPr>
                <w:rFonts w:ascii="Times New Roman"/>
                <w:b w:val="false"/>
                <w:i w:val="false"/>
                <w:color w:val="1b1b1b"/>
                <w:sz w:val="24"/>
                <w:lang w:val="pl-PL"/>
              </w:rPr>
              <w:t>art. 3 pkt 9</w:t>
            </w:r>
            <w:r>
              <w:rPr>
                <w:rFonts w:ascii="Times New Roman"/>
                <w:b w:val="false"/>
                <w:i w:val="false"/>
                <w:color w:val="000000"/>
                <w:sz w:val="24"/>
                <w:lang w:val="pl-PL"/>
              </w:rPr>
              <w:t xml:space="preserve"> i </w:t>
            </w:r>
            <w:r>
              <w:rPr>
                <w:rFonts w:ascii="Times New Roman"/>
                <w:b w:val="false"/>
                <w:i w:val="false"/>
                <w:color w:val="1b1b1b"/>
                <w:sz w:val="24"/>
                <w:lang w:val="pl-PL"/>
              </w:rPr>
              <w:t>14</w:t>
            </w:r>
            <w:r>
              <w:rPr>
                <w:rFonts w:ascii="Times New Roman"/>
                <w:b w:val="false"/>
                <w:i w:val="false"/>
                <w:color w:val="000000"/>
                <w:sz w:val="24"/>
                <w:lang w:val="pl-PL"/>
              </w:rPr>
              <w:t xml:space="preserve"> rozporządzenia (WE) nr 1907/2006 Parlamentu Europejskiego i Rady z dnia 18 grudnia 2006 r.</w:t>
            </w:r>
          </w:p>
          <w:p>
            <w:pPr>
              <w:spacing w:before="25" w:after="0"/>
              <w:ind w:left="0"/>
              <w:jc w:val="left"/>
              <w:textAlignment w:val="auto"/>
            </w:pPr>
            <w:r>
              <w:rPr>
                <w:rFonts w:ascii="Times New Roman"/>
                <w:b w:val="false"/>
                <w:i w:val="false"/>
                <w:color w:val="000000"/>
                <w:sz w:val="24"/>
                <w:lang w:val="pl-PL"/>
              </w:rPr>
              <w:t>w sprawie rejestracji, oceny, udzielania zezwoleń i stosowanych ograniczeń w zakresie chemikaliów</w:t>
            </w:r>
          </w:p>
          <w:p>
            <w:pPr>
              <w:spacing w:before="25" w:after="0"/>
              <w:ind w:left="0"/>
              <w:jc w:val="left"/>
              <w:textAlignment w:val="auto"/>
            </w:pPr>
            <w:r>
              <w:rPr>
                <w:rFonts w:ascii="Times New Roman"/>
                <w:b w:val="false"/>
                <w:i w:val="false"/>
                <w:color w:val="000000"/>
                <w:sz w:val="24"/>
                <w:lang w:val="pl-PL"/>
              </w:rPr>
              <w:t xml:space="preserve">(REACH) i utworzenia Europejskiej Agencji Chemikaliów, zmieniającego </w:t>
            </w:r>
            <w:r>
              <w:rPr>
                <w:rFonts w:ascii="Times New Roman"/>
                <w:b w:val="false"/>
                <w:i w:val="false"/>
                <w:color w:val="1b1b1b"/>
                <w:sz w:val="24"/>
                <w:lang w:val="pl-PL"/>
              </w:rPr>
              <w:t>dyrektywę</w:t>
            </w:r>
            <w:r>
              <w:rPr>
                <w:rFonts w:ascii="Times New Roman"/>
                <w:b w:val="false"/>
                <w:i w:val="false"/>
                <w:color w:val="000000"/>
                <w:sz w:val="24"/>
                <w:lang w:val="pl-PL"/>
              </w:rPr>
              <w:t xml:space="preserve"> 1999/45/WE oraz uchylającego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Rady (EWG) nr 793/93 i </w:t>
            </w:r>
            <w:r>
              <w:rPr>
                <w:rFonts w:ascii="Times New Roman"/>
                <w:b w:val="false"/>
                <w:i w:val="false"/>
                <w:color w:val="1b1b1b"/>
                <w:sz w:val="24"/>
                <w:lang w:val="pl-PL"/>
              </w:rPr>
              <w:t>rozporządzenie</w:t>
            </w:r>
            <w:r>
              <w:rPr>
                <w:rFonts w:ascii="Times New Roman"/>
                <w:b w:val="false"/>
                <w:i w:val="false"/>
                <w:color w:val="000000"/>
                <w:sz w:val="24"/>
                <w:lang w:val="pl-PL"/>
              </w:rPr>
              <w:t xml:space="preserve"> Komisji (WE) nr 1488/94, jak również dyrektywę</w:t>
            </w:r>
          </w:p>
          <w:p>
            <w:pPr>
              <w:spacing w:before="25" w:after="0"/>
              <w:ind w:left="0"/>
              <w:jc w:val="left"/>
              <w:textAlignment w:val="auto"/>
            </w:pPr>
            <w:r>
              <w:rPr>
                <w:rFonts w:ascii="Times New Roman"/>
                <w:b w:val="false"/>
                <w:i w:val="false"/>
                <w:color w:val="000000"/>
                <w:sz w:val="24"/>
                <w:lang w:val="pl-PL"/>
              </w:rPr>
              <w:t xml:space="preserve">Rady 76/769/EWG i dyrektywy Komisji </w:t>
            </w:r>
            <w:r>
              <w:rPr>
                <w:rFonts w:ascii="Times New Roman"/>
                <w:b w:val="false"/>
                <w:i w:val="false"/>
                <w:color w:val="1b1b1b"/>
                <w:sz w:val="24"/>
                <w:lang w:val="pl-PL"/>
              </w:rPr>
              <w:t>91/155/EWG</w:t>
            </w:r>
            <w:r>
              <w:rPr>
                <w:rFonts w:ascii="Times New Roman"/>
                <w:b w:val="false"/>
                <w:i w:val="false"/>
                <w:color w:val="000000"/>
                <w:sz w:val="24"/>
                <w:lang w:val="pl-PL"/>
              </w:rPr>
              <w:t xml:space="preserve">, </w:t>
            </w:r>
            <w:r>
              <w:rPr>
                <w:rFonts w:ascii="Times New Roman"/>
                <w:b w:val="false"/>
                <w:i w:val="false"/>
                <w:color w:val="1b1b1b"/>
                <w:sz w:val="24"/>
                <w:lang w:val="pl-PL"/>
              </w:rPr>
              <w:t>93/67/EWG</w:t>
            </w:r>
            <w:r>
              <w:rPr>
                <w:rFonts w:ascii="Times New Roman"/>
                <w:b w:val="false"/>
                <w:i w:val="false"/>
                <w:color w:val="000000"/>
                <w:sz w:val="24"/>
                <w:lang w:val="pl-PL"/>
              </w:rPr>
              <w:t xml:space="preserve">, </w:t>
            </w:r>
            <w:r>
              <w:rPr>
                <w:rFonts w:ascii="Times New Roman"/>
                <w:b w:val="false"/>
                <w:i w:val="false"/>
                <w:color w:val="1b1b1b"/>
                <w:sz w:val="24"/>
                <w:lang w:val="pl-PL"/>
              </w:rPr>
              <w:t>93/105/WE</w:t>
            </w:r>
            <w:r>
              <w:rPr>
                <w:rFonts w:ascii="Times New Roman"/>
                <w:b w:val="false"/>
                <w:i w:val="false"/>
                <w:color w:val="000000"/>
                <w:sz w:val="24"/>
                <w:lang w:val="pl-PL"/>
              </w:rPr>
              <w:t xml:space="preserve"> i </w:t>
            </w:r>
            <w:r>
              <w:rPr>
                <w:rFonts w:ascii="Times New Roman"/>
                <w:b w:val="false"/>
                <w:i w:val="false"/>
                <w:color w:val="1b1b1b"/>
                <w:sz w:val="24"/>
                <w:lang w:val="pl-PL"/>
              </w:rPr>
              <w:t>2000/21/WE</w:t>
            </w:r>
            <w:r>
              <w:rPr>
                <w:rFonts w:ascii="Times New Roman"/>
                <w:b w:val="false"/>
                <w:i w:val="false"/>
                <w:color w:val="000000"/>
                <w:sz w:val="24"/>
                <w:lang w:val="pl-PL"/>
              </w:rPr>
              <w:t xml:space="preserve"> (Dz. Urz. UE L 396 z 30.12.2006, str. 1, z późn. zm. </w:t>
            </w:r>
            <w:r>
              <w:rPr>
                <w:rFonts w:ascii="Times New Roman"/>
                <w:b w:val="false"/>
                <w:i w:val="false"/>
                <w:color w:val="000000"/>
                <w:sz w:val="24"/>
                <w:vertAlign w:val="superscript"/>
                <w:lang w:val="pl-PL"/>
              </w:rPr>
              <w:t>483</w:t>
            </w:r>
            <w:r>
              <w:rPr>
                <w:rFonts w:ascii="Times New Roman"/>
                <w:b w:val="false"/>
                <w:i w:val="false"/>
                <w:color w:val="000000"/>
                <w:sz w:val="24"/>
                <w:lang w:val="pl-PL"/>
              </w:rPr>
              <w:t xml:space="preserve">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zajmujące się wytwarzaniem z substancji lub mieszanin wyrobów, o których mowa w </w:t>
            </w:r>
            <w:r>
              <w:rPr>
                <w:rFonts w:ascii="Times New Roman"/>
                <w:b w:val="false"/>
                <w:i w:val="false"/>
                <w:color w:val="1b1b1b"/>
                <w:sz w:val="24"/>
                <w:lang w:val="pl-PL"/>
              </w:rPr>
              <w:t>art. 3 pkt 3</w:t>
            </w:r>
            <w:r>
              <w:rPr>
                <w:rFonts w:ascii="Times New Roman"/>
                <w:b w:val="false"/>
                <w:i w:val="false"/>
                <w:color w:val="000000"/>
                <w:sz w:val="24"/>
                <w:lang w:val="pl-PL"/>
              </w:rPr>
              <w:t xml:space="preserve"> rozporządzenia (WE) nr 1907/2006 Parlamentu</w:t>
            </w:r>
          </w:p>
          <w:p>
            <w:pPr>
              <w:spacing w:before="25" w:after="0"/>
              <w:ind w:left="0"/>
              <w:jc w:val="left"/>
              <w:textAlignment w:val="auto"/>
            </w:pPr>
            <w:r>
              <w:rPr>
                <w:rFonts w:ascii="Times New Roman"/>
                <w:b w:val="false"/>
                <w:i w:val="false"/>
                <w:color w:val="000000"/>
                <w:sz w:val="24"/>
                <w:lang w:val="pl-PL"/>
              </w:rPr>
              <w:t xml:space="preserve">Europejskiego i Rady z dnia 18 grudnia 2006 r. w sprawie rejestracji, oceny, udzielania zezwoleń i stosowanych ograniczeń w zakresie chemikaliów (REACH) i utworzenia Europejskiej Agencji Chemikaliów, zmieniającego </w:t>
            </w:r>
            <w:r>
              <w:rPr>
                <w:rFonts w:ascii="Times New Roman"/>
                <w:b w:val="false"/>
                <w:i w:val="false"/>
                <w:color w:val="1b1b1b"/>
                <w:sz w:val="24"/>
                <w:lang w:val="pl-PL"/>
              </w:rPr>
              <w:t>dyrektywę</w:t>
            </w:r>
            <w:r>
              <w:rPr>
                <w:rFonts w:ascii="Times New Roman"/>
                <w:b w:val="false"/>
                <w:i w:val="false"/>
                <w:color w:val="000000"/>
                <w:sz w:val="24"/>
                <w:lang w:val="pl-PL"/>
              </w:rPr>
              <w:t xml:space="preserve"> 1999/45/WE oraz uchylającego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Rady (EWG) nr 793/93 i </w:t>
            </w:r>
            <w:r>
              <w:rPr>
                <w:rFonts w:ascii="Times New Roman"/>
                <w:b w:val="false"/>
                <w:i w:val="false"/>
                <w:color w:val="1b1b1b"/>
                <w:sz w:val="24"/>
                <w:lang w:val="pl-PL"/>
              </w:rPr>
              <w:t>rozporządzenie</w:t>
            </w:r>
            <w:r>
              <w:rPr>
                <w:rFonts w:ascii="Times New Roman"/>
                <w:b w:val="false"/>
                <w:i w:val="false"/>
                <w:color w:val="000000"/>
                <w:sz w:val="24"/>
                <w:lang w:val="pl-PL"/>
              </w:rPr>
              <w:t xml:space="preserve"> Komisji (WE) nr 1488/94, jak również </w:t>
            </w:r>
            <w:r>
              <w:rPr>
                <w:rFonts w:ascii="Times New Roman"/>
                <w:b w:val="false"/>
                <w:i w:val="false"/>
                <w:color w:val="1b1b1b"/>
                <w:sz w:val="24"/>
                <w:lang w:val="pl-PL"/>
              </w:rPr>
              <w:t>dyrektywę</w:t>
            </w:r>
            <w:r>
              <w:rPr>
                <w:rFonts w:ascii="Times New Roman"/>
                <w:b w:val="false"/>
                <w:i w:val="false"/>
                <w:color w:val="000000"/>
                <w:sz w:val="24"/>
                <w:lang w:val="pl-PL"/>
              </w:rPr>
              <w:t xml:space="preserve"> Rady 76/769/EWG i dyrektywy Komisji </w:t>
            </w:r>
            <w:r>
              <w:rPr>
                <w:rFonts w:ascii="Times New Roman"/>
                <w:b w:val="false"/>
                <w:i w:val="false"/>
                <w:color w:val="1b1b1b"/>
                <w:sz w:val="24"/>
                <w:lang w:val="pl-PL"/>
              </w:rPr>
              <w:t>91/155/EWG</w:t>
            </w:r>
            <w:r>
              <w:rPr>
                <w:rFonts w:ascii="Times New Roman"/>
                <w:b w:val="false"/>
                <w:i w:val="false"/>
                <w:color w:val="000000"/>
                <w:sz w:val="24"/>
                <w:lang w:val="pl-PL"/>
              </w:rPr>
              <w:t xml:space="preserve">, </w:t>
            </w:r>
            <w:r>
              <w:rPr>
                <w:rFonts w:ascii="Times New Roman"/>
                <w:b w:val="false"/>
                <w:i w:val="false"/>
                <w:color w:val="1b1b1b"/>
                <w:sz w:val="24"/>
                <w:lang w:val="pl-PL"/>
              </w:rPr>
              <w:t>93/67/EWG</w:t>
            </w:r>
            <w:r>
              <w:rPr>
                <w:rFonts w:ascii="Times New Roman"/>
                <w:b w:val="false"/>
                <w:i w:val="false"/>
                <w:color w:val="000000"/>
                <w:sz w:val="24"/>
                <w:lang w:val="pl-PL"/>
              </w:rPr>
              <w:t xml:space="preserve">, </w:t>
            </w:r>
            <w:r>
              <w:rPr>
                <w:rFonts w:ascii="Times New Roman"/>
                <w:b w:val="false"/>
                <w:i w:val="false"/>
                <w:color w:val="1b1b1b"/>
                <w:sz w:val="24"/>
                <w:lang w:val="pl-PL"/>
              </w:rPr>
              <w:t>93/105/WE</w:t>
            </w:r>
            <w:r>
              <w:rPr>
                <w:rFonts w:ascii="Times New Roman"/>
                <w:b w:val="false"/>
                <w:i w:val="false"/>
                <w:color w:val="000000"/>
                <w:sz w:val="24"/>
                <w:lang w:val="pl-PL"/>
              </w:rPr>
              <w:t xml:space="preserve"> i </w:t>
            </w:r>
            <w:r>
              <w:rPr>
                <w:rFonts w:ascii="Times New Roman"/>
                <w:b w:val="false"/>
                <w:i w:val="false"/>
                <w:color w:val="1b1b1b"/>
                <w:sz w:val="24"/>
                <w:lang w:val="pl-PL"/>
              </w:rPr>
              <w:t>2000/21/WE</w:t>
            </w:r>
          </w:p>
        </w:tc>
      </w:tr>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przetwarzanie i dystrybucja żywności</w:t>
            </w:r>
          </w:p>
        </w:tc>
        <w:tc>
          <w:tcPr>
            <w:tcW w:w="2804" w:type="dxa"/>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Przedsiębiorstwa spożywcze w rozumieniu </w:t>
            </w:r>
            <w:r>
              <w:rPr>
                <w:rFonts w:ascii="Times New Roman"/>
                <w:b w:val="false"/>
                <w:i w:val="false"/>
                <w:color w:val="1b1b1b"/>
                <w:sz w:val="24"/>
                <w:lang w:val="pl-PL"/>
              </w:rPr>
              <w:t>art. 3 pkt 2</w:t>
            </w:r>
            <w:r>
              <w:rPr>
                <w:rFonts w:ascii="Times New Roman"/>
                <w:b w:val="false"/>
                <w:i w:val="false"/>
                <w:color w:val="000000"/>
                <w:sz w:val="24"/>
                <w:lang w:val="pl-PL"/>
              </w:rPr>
              <w:t xml:space="preserve"> rozporządzenia (WE) nr 178/2002 Parlamentu Europejskiego i Rady z dnia 28 stycznia 2002 r. ustanawiającego ogólne zasady i wymagania prawa żywnościowego, powołującego Europejski Urząd ds. Bezpieczeństwa Żywności oraz ustanawiającego procedury w zakresie bezpieczeństwa żywności (Dz. Urz. UE L 31 z 01.02.2002, str. 1, z późn. zm. </w:t>
            </w:r>
            <w:r>
              <w:rPr>
                <w:rFonts w:ascii="Times New Roman"/>
                <w:b w:val="false"/>
                <w:i w:val="false"/>
                <w:color w:val="000000"/>
                <w:sz w:val="24"/>
                <w:vertAlign w:val="superscript"/>
                <w:lang w:val="pl-PL"/>
              </w:rPr>
              <w:t>484</w:t>
            </w:r>
            <w:r>
              <w:rPr>
                <w:rFonts w:ascii="Times New Roman"/>
                <w:b w:val="false"/>
                <w:i w:val="false"/>
                <w:color w:val="000000"/>
                <w:sz w:val="24"/>
                <w:lang w:val="pl-PL"/>
              </w:rPr>
              <w:t xml:space="preserve"> ), zajmujące się dystrybucją hurtową oraz przemysłowymi produkcją i przetwarzaniem</w:t>
            </w:r>
          </w:p>
        </w:tc>
      </w:tr>
      <w:tr>
        <w:trPr>
          <w:trHeight w:val="45" w:hRule="atLeast"/>
        </w:trPr>
        <w:tc>
          <w:tcPr>
            <w:tcW w:w="22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w:t>
            </w:r>
          </w:p>
        </w:tc>
        <w:tc>
          <w:tcPr>
            <w:tcW w:w="280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wyrobów medycznych i wyrobów medycznych do diagnostyki in vitro</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produkujące wyroby medyczne w rozumieniu </w:t>
            </w:r>
            <w:r>
              <w:rPr>
                <w:rFonts w:ascii="Times New Roman"/>
                <w:b w:val="false"/>
                <w:i w:val="false"/>
                <w:color w:val="1b1b1b"/>
                <w:sz w:val="24"/>
                <w:lang w:val="pl-PL"/>
              </w:rPr>
              <w:t>art. 2 ust. 1</w:t>
            </w:r>
            <w:r>
              <w:rPr>
                <w:rFonts w:ascii="Times New Roman"/>
                <w:b w:val="false"/>
                <w:i w:val="false"/>
                <w:color w:val="000000"/>
                <w:sz w:val="24"/>
                <w:lang w:val="pl-PL"/>
              </w:rPr>
              <w:t xml:space="preserve"> rozporządzenia Parlamentu Europejskiego i Rady (UE) 2017/745 z dnia 5 kwietnia 2017 r. w sprawie wyrobów medycznych, zmiany dyrektywy 2001/83/WE, rozporządzenia (WE) nr 178/2002 i rozporządzenia (WE) nr 1223/2009 oraz uchylenia dyrektyw Rady 90/385/EWG i 93/42/EWG (Dz. Urz. UE L 117 z 05.05.2017, str. 1, z późn. zm. </w:t>
            </w:r>
            <w:r>
              <w:rPr>
                <w:rFonts w:ascii="Times New Roman"/>
                <w:b w:val="false"/>
                <w:i w:val="false"/>
                <w:color w:val="000000"/>
                <w:sz w:val="24"/>
                <w:vertAlign w:val="superscript"/>
                <w:lang w:val="pl-PL"/>
              </w:rPr>
              <w:t>485</w:t>
            </w:r>
            <w:r>
              <w:rPr>
                <w:rFonts w:ascii="Times New Roman"/>
                <w:b w:val="false"/>
                <w:i w:val="false"/>
                <w:color w:val="000000"/>
                <w:sz w:val="24"/>
                <w:lang w:val="pl-PL"/>
              </w:rPr>
              <w:t xml:space="preserve">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produkujące wyroby medyczne do diagnostyki in vitro w rozumieniu </w:t>
            </w:r>
            <w:r>
              <w:rPr>
                <w:rFonts w:ascii="Times New Roman"/>
                <w:b w:val="false"/>
                <w:i w:val="false"/>
                <w:color w:val="1b1b1b"/>
                <w:sz w:val="24"/>
                <w:lang w:val="pl-PL"/>
              </w:rPr>
              <w:t>art. 2 ust. 2</w:t>
            </w:r>
            <w:r>
              <w:rPr>
                <w:rFonts w:ascii="Times New Roman"/>
                <w:b w:val="false"/>
                <w:i w:val="false"/>
                <w:color w:val="000000"/>
                <w:sz w:val="24"/>
                <w:lang w:val="pl-PL"/>
              </w:rPr>
              <w:t xml:space="preserve"> rozporządzenia Parlamentu Europejskiego i Rady (UE) 2017/746 z dnia 5 kwietnia 2017 r. w sprawie wyrobów medycznych do diagnostyki in vitro oraz uchylenia </w:t>
            </w:r>
            <w:r>
              <w:rPr>
                <w:rFonts w:ascii="Times New Roman"/>
                <w:b w:val="false"/>
                <w:i w:val="false"/>
                <w:color w:val="1b1b1b"/>
                <w:sz w:val="24"/>
                <w:lang w:val="pl-PL"/>
              </w:rPr>
              <w:t>dyrektywy</w:t>
            </w:r>
            <w:r>
              <w:rPr>
                <w:rFonts w:ascii="Times New Roman"/>
                <w:b w:val="false"/>
                <w:i w:val="false"/>
                <w:color w:val="000000"/>
                <w:sz w:val="24"/>
                <w:lang w:val="pl-PL"/>
              </w:rPr>
              <w:t xml:space="preserve"> 98/79/WE i </w:t>
            </w:r>
            <w:r>
              <w:rPr>
                <w:rFonts w:ascii="Times New Roman"/>
                <w:b w:val="false"/>
                <w:i w:val="false"/>
                <w:color w:val="1b1b1b"/>
                <w:sz w:val="24"/>
                <w:lang w:val="pl-PL"/>
              </w:rPr>
              <w:t>decyzji</w:t>
            </w:r>
            <w:r>
              <w:rPr>
                <w:rFonts w:ascii="Times New Roman"/>
                <w:b w:val="false"/>
                <w:i w:val="false"/>
                <w:color w:val="000000"/>
                <w:sz w:val="24"/>
                <w:lang w:val="pl-PL"/>
              </w:rPr>
              <w:t xml:space="preserve"> Komisji 2010/227/UE (Dz. Urz. UE L 117</w:t>
            </w:r>
          </w:p>
          <w:p>
            <w:pPr>
              <w:spacing w:before="25" w:after="0"/>
              <w:ind w:left="0"/>
              <w:jc w:val="left"/>
              <w:textAlignment w:val="auto"/>
            </w:pPr>
            <w:r>
              <w:rPr>
                <w:rFonts w:ascii="Times New Roman"/>
                <w:b w:val="false"/>
                <w:i w:val="false"/>
                <w:color w:val="000000"/>
                <w:sz w:val="24"/>
                <w:lang w:val="pl-PL"/>
              </w:rPr>
              <w:t xml:space="preserve">z 05.05.2017, str. 176, z późn. zm. </w:t>
            </w:r>
            <w:r>
              <w:rPr>
                <w:rFonts w:ascii="Times New Roman"/>
                <w:b w:val="false"/>
                <w:i w:val="false"/>
                <w:color w:val="000000"/>
                <w:sz w:val="24"/>
                <w:vertAlign w:val="superscript"/>
                <w:lang w:val="pl-PL"/>
              </w:rPr>
              <w:t>486</w:t>
            </w:r>
            <w:r>
              <w:rPr>
                <w:rFonts w:ascii="Times New Roman"/>
                <w:b w:val="false"/>
                <w:i w:val="false"/>
                <w:color w:val="000000"/>
                <w:sz w:val="24"/>
                <w:lang w:val="pl-PL"/>
              </w:rPr>
              <w:t xml:space="preserve"> ), z wyjątkiem podmiotów produkujących wyroby medyczne uznane za mające krytyczne znaczenie podczas danego stanu zagrożenia zdrowia publicznego</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komputerów, wyrobów elektronicznych i optycznych</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Przedsiębiorca prowadzący którykolwiek z rodzajów działalności gospodarczej, o których mowa w sekcji C dział 26 klasyfikacji NACE Rev. 2, ujętej w </w:t>
            </w:r>
            <w:r>
              <w:rPr>
                <w:rFonts w:ascii="Times New Roman"/>
                <w:b w:val="false"/>
                <w:i w:val="false"/>
                <w:color w:val="1b1b1b"/>
                <w:sz w:val="24"/>
                <w:lang w:val="pl-PL"/>
              </w:rPr>
              <w:t>załączniku I</w:t>
            </w:r>
            <w:r>
              <w:rPr>
                <w:rFonts w:ascii="Times New Roman"/>
                <w:b w:val="false"/>
                <w:i w:val="false"/>
                <w:color w:val="000000"/>
                <w:sz w:val="24"/>
                <w:lang w:val="pl-PL"/>
              </w:rPr>
              <w:t xml:space="preserve"> do rozporządzenia (WE) nr 1893/2006 Parlamentu</w:t>
            </w:r>
          </w:p>
          <w:p>
            <w:pPr>
              <w:spacing w:before="25" w:after="0"/>
              <w:ind w:left="0"/>
              <w:jc w:val="left"/>
              <w:textAlignment w:val="auto"/>
            </w:pPr>
            <w:r>
              <w:rPr>
                <w:rFonts w:ascii="Times New Roman"/>
                <w:b w:val="false"/>
                <w:i w:val="false"/>
                <w:color w:val="000000"/>
                <w:sz w:val="24"/>
                <w:lang w:val="pl-PL"/>
              </w:rPr>
              <w:t xml:space="preserve">Europejskiego i Rady z dnia 20 grudnia 2006 r. w sprawie statystycznej klasyfikacji działalności gospodarczej NACE Rev. 2 i zmieniającego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Rady (EWG) nr 3037/90 oraz niektóre </w:t>
            </w:r>
            <w:r>
              <w:rPr>
                <w:rFonts w:ascii="Times New Roman"/>
                <w:b w:val="false"/>
                <w:i w:val="false"/>
                <w:color w:val="1b1b1b"/>
                <w:sz w:val="24"/>
                <w:lang w:val="pl-PL"/>
              </w:rPr>
              <w:t>rozporządzenia</w:t>
            </w:r>
            <w:r>
              <w:rPr>
                <w:rFonts w:ascii="Times New Roman"/>
                <w:b w:val="false"/>
                <w:i w:val="false"/>
                <w:color w:val="000000"/>
                <w:sz w:val="24"/>
                <w:lang w:val="pl-PL"/>
              </w:rPr>
              <w:t xml:space="preserve"> WE w sprawie określonych dziedzin statystycznych (Dz. Urz. UE L 393 z 30.12.2006, str. 1, z późn. zm. </w:t>
            </w:r>
            <w:r>
              <w:rPr>
                <w:rFonts w:ascii="Times New Roman"/>
                <w:b w:val="false"/>
                <w:i w:val="false"/>
                <w:color w:val="000000"/>
                <w:sz w:val="24"/>
                <w:vertAlign w:val="superscript"/>
                <w:lang w:val="pl-PL"/>
              </w:rPr>
              <w:t>487</w:t>
            </w:r>
            <w:r>
              <w:rPr>
                <w:rFonts w:ascii="Times New Roman"/>
                <w:b w:val="false"/>
                <w:i w:val="false"/>
                <w:color w:val="000000"/>
                <w:sz w:val="24"/>
                <w:lang w:val="pl-PL"/>
              </w:rPr>
              <w:t xml:space="preserve"> )</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urządzeń elektrycznych</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prowadzący którykolwiek z rodzajów działalności gospodarczej, o których mowa w sekcji C dział 27 klasyfikacji NACE Rev. 2</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maszyn i urządzeń, gdzie indziej niesklasyfikowana</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prowadzący którykolwiek z rodzajów działalności gospodarczej, o których mowa w sekcji C dział 28 klasyfikacji NACE Rev. 2</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pojazdów samochodowych, przyczep i naczep</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prowadzący którykolwiek z rodzajów działalności gospodarczej, o których mowa w sekcji C dział 29 klasyfikacji NACE Rev. 2</w:t>
            </w:r>
          </w:p>
        </w:tc>
      </w:tr>
      <w:tr>
        <w:trPr>
          <w:trHeight w:val="45" w:hRule="atLeast"/>
        </w:trPr>
        <w:tc>
          <w:tcPr>
            <w:tcW w:w="0" w:type="auto"/>
            <w:vMerge/>
            <w:tcBorders>
              <w:top w:val="nil"/>
              <w:bottom w:val="single" w:color="000000" w:sz="8"/>
              <w:right w:val="single" w:color="000000" w:sz="8"/>
            </w:tcBorders>
          </w:tcPr>
          <w:p/>
        </w:tc>
        <w:tc>
          <w:tcPr>
            <w:tcW w:w="2804"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Produkcja pozostałego sprzętu transportowego</w:t>
            </w: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Przedsiębiorca prowadzący którykolwiek z rodzajów działalności gospodarczej, o których mowa w sekcji C dział 30 klasyfikacji NACE Rev. 2</w:t>
            </w:r>
          </w:p>
        </w:tc>
      </w:tr>
      <w:tr>
        <w:trPr>
          <w:trHeight w:val="45" w:hRule="atLeast"/>
        </w:trPr>
        <w:tc>
          <w:tcPr>
            <w:tcW w:w="22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Dostawcy usług cyfrowych</w:t>
            </w:r>
          </w:p>
        </w:tc>
        <w:tc>
          <w:tcPr>
            <w:tcW w:w="2804" w:type="dxa"/>
            <w:vMerge w:val="restart"/>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internetowej platformy handlowej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wyszukiwarki internetowej</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Dostawca platformy sieci usług społecznościowych</w:t>
            </w:r>
          </w:p>
        </w:tc>
      </w:tr>
      <w:tr>
        <w:trPr>
          <w:trHeight w:val="45" w:hRule="atLeast"/>
        </w:trPr>
        <w:tc>
          <w:tcPr>
            <w:tcW w:w="222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Badania naukowe</w:t>
            </w:r>
          </w:p>
        </w:tc>
        <w:tc>
          <w:tcPr>
            <w:tcW w:w="2804" w:type="dxa"/>
            <w:vMerge w:val="restart"/>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Organizacja badawcza</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art. 7 ust. 1 pkt 1-4</w:t>
            </w:r>
            <w:r>
              <w:rPr>
                <w:rFonts w:ascii="Times New Roman"/>
                <w:b w:val="false"/>
                <w:i w:val="false"/>
                <w:color w:val="000000"/>
                <w:sz w:val="24"/>
                <w:lang w:val="pl-PL"/>
              </w:rPr>
              <w:t xml:space="preserve">, </w:t>
            </w:r>
            <w:r>
              <w:rPr>
                <w:rFonts w:ascii="Times New Roman"/>
                <w:b w:val="false"/>
                <w:i w:val="false"/>
                <w:color w:val="1b1b1b"/>
                <w:sz w:val="24"/>
                <w:lang w:val="pl-PL"/>
              </w:rPr>
              <w:t>6-7</w:t>
            </w:r>
            <w:r>
              <w:rPr>
                <w:rFonts w:ascii="Times New Roman"/>
                <w:b w:val="false"/>
                <w:i w:val="false"/>
                <w:color w:val="000000"/>
                <w:sz w:val="24"/>
                <w:lang w:val="pl-PL"/>
              </w:rPr>
              <w:t xml:space="preserve"> ustawy z dnia 20 lipca 2018 r. - Prawo o szkolnictwie wyższym i nauce</w:t>
            </w:r>
          </w:p>
        </w:tc>
      </w:tr>
      <w:tr>
        <w:trPr>
          <w:trHeight w:val="45" w:hRule="atLeast"/>
        </w:trPr>
        <w:tc>
          <w:tcPr>
            <w:tcW w:w="2229"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Podmioty publiczne</w:t>
            </w:r>
          </w:p>
        </w:tc>
        <w:tc>
          <w:tcPr>
            <w:tcW w:w="2804" w:type="dxa"/>
            <w:tcBorders>
              <w:bottom w:val="single" w:color="000000" w:sz="8"/>
              <w:right w:val="single" w:color="000000" w:sz="8"/>
            </w:tcBorders>
            <w:tcMar>
              <w:top w:w="15" w:type="dxa"/>
              <w:left w:w="15" w:type="dxa"/>
              <w:bottom w:w="15" w:type="dxa"/>
              <w:right w:w="15" w:type="dxa"/>
            </w:tcMar>
            <w:vAlign w:val="center"/>
          </w:tcPr>
          <w:p/>
        </w:tc>
        <w:tc>
          <w:tcPr>
            <w:tcW w:w="10732"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samorządowe jednostki budżetowe; samorządowe zakłady budżetowe; samorządowe instytucje kultury; spółki wykonujące zadania o charakterze użyteczności publicznej w rozumieniu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w:t>
            </w:r>
          </w:p>
          <w:p>
            <w:pPr>
              <w:spacing w:before="25" w:after="0"/>
              <w:ind w:left="0"/>
              <w:jc w:val="left"/>
              <w:textAlignment w:val="auto"/>
            </w:pPr>
            <w:r>
              <w:rPr>
                <w:rFonts w:ascii="Times New Roman"/>
                <w:b w:val="false"/>
                <w:i w:val="false"/>
                <w:color w:val="000000"/>
                <w:sz w:val="24"/>
                <w:lang w:val="pl-PL"/>
              </w:rPr>
              <w:t>20 grudnia 1996 r. o gospodarce komunalnej</w:t>
            </w:r>
          </w:p>
          <w:p>
            <w:pPr>
              <w:spacing w:before="25" w:after="0"/>
              <w:ind w:left="0"/>
              <w:jc w:val="left"/>
              <w:textAlignment w:val="auto"/>
            </w:pPr>
            <w:r>
              <w:rPr>
                <w:rFonts w:ascii="Times New Roman"/>
                <w:b w:val="false"/>
                <w:i w:val="false"/>
                <w:color w:val="000000"/>
                <w:sz w:val="24"/>
                <w:lang w:val="pl-PL"/>
              </w:rPr>
              <w:t>(Dz. U. z 2021 r. poz. 679)</w:t>
            </w:r>
          </w:p>
        </w:tc>
      </w:tr>
    </w:tbl>
    <w:p>
      <w:pPr>
        <w:spacing w:after="0"/>
        <w:ind w:left="0"/>
        <w:jc w:val="left"/>
        <w:textAlignment w:val="auto"/>
      </w:pPr>
      <w:r>
        <w:rPr>
          <w:rFonts w:ascii="Times New Roman"/>
          <w:b w:val="false"/>
          <w:i w:val="false"/>
          <w:color w:val="000000"/>
          <w:sz w:val="24"/>
          <w:lang w:val="pl-PL"/>
        </w:rPr>
        <w:t>Zwiń tabelę</w:t>
      </w:r>
    </w:p>
    <w:p>
      <w:pPr>
        <w:spacing w:before="89" w:after="0"/>
        <w:ind w:left="0"/>
        <w:jc w:val="center"/>
        <w:textAlignment w:val="auto"/>
      </w:pPr>
      <w:r>
        <w:rPr>
          <w:rFonts w:ascii="Times New Roman"/>
          <w:b/>
          <w:i w:val="false"/>
          <w:color w:val="000000"/>
          <w:sz w:val="24"/>
          <w:lang w:val="pl-PL"/>
        </w:rPr>
        <w:t xml:space="preserve">ZAŁĄCZNIK Nr 3 </w:t>
      </w:r>
      <w:r>
        <w:rPr>
          <w:rFonts w:ascii="Times New Roman"/>
          <w:b/>
          <w:i w:val="false"/>
          <w:color w:val="000000"/>
          <w:sz w:val="24"/>
          <w:vertAlign w:val="superscript"/>
          <w:lang w:val="pl-PL"/>
        </w:rPr>
        <w:t>488</w:t>
      </w:r>
    </w:p>
    <w:p>
      <w:pPr>
        <w:spacing w:before="25" w:after="0"/>
        <w:ind w:left="0"/>
        <w:jc w:val="center"/>
        <w:textAlignment w:val="auto"/>
      </w:pPr>
      <w:r>
        <w:rPr>
          <w:rFonts w:ascii="Times New Roman"/>
          <w:b/>
          <w:i w:val="false"/>
          <w:color w:val="000000"/>
          <w:sz w:val="24"/>
          <w:lang w:val="pl-PL"/>
        </w:rPr>
        <w:t>KATEGORIE FUNKCJI KRYTYCZNYCH DLA BEZPIECZEŃSTWA SIECI I USŁUG</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496"/>
        <w:gridCol w:w="8635"/>
        <w:gridCol w:w="5386"/>
      </w:tblGrid>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Lp.</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Opis funkcji</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Identyfikacja powiązanej funkcji sieciowej wg standardów 3GPP</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1</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Uwierzytelnianie urządzeń użytkowników i zarządzanie prawami dostępu</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AMF - Access &amp; Mobility management Function</w:t>
            </w:r>
          </w:p>
          <w:p>
            <w:pPr>
              <w:spacing w:before="25" w:after="0"/>
              <w:ind w:left="0"/>
              <w:jc w:val="left"/>
              <w:textAlignment w:val="auto"/>
            </w:pPr>
            <w:r>
              <w:rPr>
                <w:rFonts w:ascii="Times New Roman"/>
                <w:b w:val="false"/>
                <w:i w:val="false"/>
                <w:color w:val="000000"/>
                <w:sz w:val="24"/>
                <w:lang w:val="pl-PL"/>
              </w:rPr>
              <w:t>AUSF - Authentication Server</w:t>
            </w:r>
          </w:p>
          <w:p>
            <w:pPr>
              <w:spacing w:before="25" w:after="0"/>
              <w:ind w:left="0"/>
              <w:jc w:val="left"/>
              <w:textAlignment w:val="auto"/>
            </w:pPr>
            <w:r>
              <w:rPr>
                <w:rFonts w:ascii="Times New Roman"/>
                <w:b w:val="false"/>
                <w:i w:val="false"/>
                <w:color w:val="000000"/>
                <w:sz w:val="24"/>
                <w:lang w:val="pl-PL"/>
              </w:rPr>
              <w:t>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2</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Przechowywanie danych kryptograficznych i identyfikacyjnych związanych z użytkownikami końcowymi</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UDM - Unified Data Management</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3</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Zarządzanie łącznością z urządzeniami użytkowników i alokacja zasobów radiowych</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Radio Base Station Baseband</w:t>
            </w:r>
          </w:p>
          <w:p>
            <w:pPr>
              <w:spacing w:before="25" w:after="0"/>
              <w:ind w:left="0"/>
              <w:jc w:val="left"/>
              <w:textAlignment w:val="auto"/>
            </w:pPr>
            <w:r>
              <w:rPr>
                <w:rFonts w:ascii="Times New Roman"/>
                <w:b w:val="false"/>
                <w:i w:val="false"/>
                <w:color w:val="000000"/>
                <w:sz w:val="24"/>
                <w:lang w:val="pl-PL"/>
              </w:rPr>
              <w:t>Unit and other features such as</w:t>
            </w:r>
          </w:p>
          <w:p>
            <w:pPr>
              <w:spacing w:before="25" w:after="0"/>
              <w:ind w:left="0"/>
              <w:jc w:val="left"/>
              <w:textAlignment w:val="auto"/>
            </w:pPr>
            <w:r>
              <w:rPr>
                <w:rFonts w:ascii="Times New Roman"/>
                <w:b w:val="false"/>
                <w:i w:val="false"/>
                <w:color w:val="000000"/>
                <w:sz w:val="24"/>
                <w:lang w:val="pl-PL"/>
              </w:rPr>
              <w:t>Radio Units and antennas</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4</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Ruting ruchu sieciowego pomiędzy urządzeniami użytkownika a sieciami i aplikacjami innych firm</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UPF - User Plane 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5</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Zarządzanie połączeniami ze sprzętem użytkownika i sesjami</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SMF - Session Management</w:t>
            </w:r>
          </w:p>
          <w:p>
            <w:pPr>
              <w:spacing w:before="25" w:after="0"/>
              <w:ind w:left="0"/>
              <w:jc w:val="left"/>
              <w:textAlignment w:val="auto"/>
            </w:pPr>
            <w:r>
              <w:rPr>
                <w:rFonts w:ascii="Times New Roman"/>
                <w:b w:val="false"/>
                <w:i w:val="false"/>
                <w:color w:val="000000"/>
                <w:sz w:val="24"/>
                <w:lang w:val="pl-PL"/>
              </w:rPr>
              <w:t>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6</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Wdrażanie, zarządzanie i monitorowanie polityk dostępu do sieci</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PCF - Policy Control 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7</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Przydzielanie elementu sieci dla połączeń z urządzeniami użytkowników</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NSSF - Network Slice Selection 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8</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Rejestrowanie, autoryzacja i utrzymanie ciągłości usług sieciowych</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NRF - Network Repository</w:t>
            </w:r>
          </w:p>
          <w:p>
            <w:pPr>
              <w:spacing w:before="25" w:after="0"/>
              <w:ind w:left="0"/>
              <w:jc w:val="left"/>
              <w:textAlignment w:val="auto"/>
            </w:pPr>
            <w:r>
              <w:rPr>
                <w:rFonts w:ascii="Times New Roman"/>
                <w:b w:val="false"/>
                <w:i w:val="false"/>
                <w:color w:val="000000"/>
                <w:sz w:val="24"/>
                <w:lang w:val="pl-PL"/>
              </w:rPr>
              <w:t>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9</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Zabezpieczenia sieci przed oddziaływaniem aplikacji zewnętrznych</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NEF - Network Exposure Function</w:t>
            </w:r>
          </w:p>
        </w:tc>
      </w:tr>
      <w:tr>
        <w:trPr>
          <w:trHeight w:val="45" w:hRule="atLeast"/>
        </w:trPr>
        <w:tc>
          <w:tcPr>
            <w:tcW w:w="49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textAlignment w:val="auto"/>
            </w:pPr>
            <w:r>
              <w:rPr>
                <w:rFonts w:ascii="Times New Roman"/>
                <w:b w:val="false"/>
                <w:i w:val="false"/>
                <w:color w:val="000000"/>
                <w:sz w:val="24"/>
                <w:lang w:val="pl-PL"/>
              </w:rPr>
              <w:t>10</w:t>
            </w:r>
          </w:p>
        </w:tc>
        <w:tc>
          <w:tcPr>
            <w:tcW w:w="8635"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Zabezpieczenia połączeń z innymi sieciami</w:t>
            </w:r>
          </w:p>
        </w:tc>
        <w:tc>
          <w:tcPr>
            <w:tcW w:w="5386"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SEPP - Security Edge Protection Proxy</w:t>
            </w:r>
          </w:p>
        </w:tc>
      </w:tr>
    </w:tbl>
    <w:p>
      <w:pPr>
        <w:spacing w:before="89" w:after="0"/>
        <w:ind w:left="0"/>
        <w:jc w:val="center"/>
        <w:textAlignment w:val="auto"/>
      </w:pPr>
      <w:r>
        <w:rPr>
          <w:rFonts w:ascii="Times New Roman"/>
          <w:b/>
          <w:i w:val="false"/>
          <w:color w:val="000000"/>
          <w:sz w:val="24"/>
          <w:lang w:val="pl-PL"/>
        </w:rPr>
        <w:t xml:space="preserve">ZAŁĄCZNIK Nr 4 </w:t>
      </w:r>
      <w:r>
        <w:rPr>
          <w:rFonts w:ascii="Times New Roman"/>
          <w:b/>
          <w:i w:val="false"/>
          <w:color w:val="000000"/>
          <w:sz w:val="24"/>
          <w:vertAlign w:val="superscript"/>
          <w:lang w:val="pl-PL"/>
        </w:rPr>
        <w:t>489</w:t>
      </w:r>
    </w:p>
    <w:p>
      <w:pPr>
        <w:spacing w:before="25" w:after="0"/>
        <w:ind w:left="0"/>
        <w:jc w:val="center"/>
        <w:textAlignment w:val="auto"/>
      </w:pPr>
      <w:r>
        <w:rPr>
          <w:rFonts w:ascii="Times New Roman"/>
          <w:b/>
          <w:i w:val="false"/>
          <w:color w:val="000000"/>
          <w:sz w:val="24"/>
          <w:lang w:val="pl-PL"/>
        </w:rPr>
        <w:t>WYMOGI DLA SYSTEMU ZARZĄDZANIA BEZPIECZEŃSTWEM INFORMACJI DLA PODMIOTU WAŻNEGO BĘDĄCEGO PODMIOTEM PUBLICZNYM</w:t>
      </w:r>
    </w:p>
    <w:p>
      <w:pPr>
        <w:spacing w:after="0"/>
        <w:ind w:left="0"/>
        <w:jc w:val="left"/>
        <w:textAlignment w:val="auto"/>
      </w:pPr>
      <w:r>
        <w:rPr>
          <w:rFonts w:ascii="Times New Roman"/>
          <w:b w:val="false"/>
          <w:i w:val="false"/>
          <w:color w:val="000000"/>
          <w:sz w:val="24"/>
          <w:lang w:val="pl-PL"/>
        </w:rPr>
        <w:t>I. System zarządzania bezpieczeństwem informacji dla podmiotu ważnego będącego podmiotem publicznym obejmuje co najmniej:</w:t>
      </w:r>
    </w:p>
    <w:p>
      <w:pPr>
        <w:spacing w:before="25" w:after="0"/>
        <w:ind w:left="0"/>
        <w:jc w:val="left"/>
        <w:textAlignment w:val="auto"/>
      </w:pPr>
      <w:r>
        <w:rPr>
          <w:rFonts w:ascii="Times New Roman"/>
          <w:b w:val="false"/>
          <w:i w:val="false"/>
          <w:color w:val="000000"/>
          <w:sz w:val="24"/>
          <w:lang w:val="pl-PL"/>
        </w:rPr>
        <w:t>1) inwentaryzację produktów ICT, usług ICT i procesów ICT służących do przetwarzania informacji;</w:t>
      </w:r>
    </w:p>
    <w:p>
      <w:pPr>
        <w:spacing w:before="25" w:after="0"/>
        <w:ind w:left="0"/>
        <w:jc w:val="left"/>
        <w:textAlignment w:val="auto"/>
      </w:pPr>
      <w:r>
        <w:rPr>
          <w:rFonts w:ascii="Times New Roman"/>
          <w:b w:val="false"/>
          <w:i w:val="false"/>
          <w:color w:val="000000"/>
          <w:sz w:val="24"/>
          <w:lang w:val="pl-PL"/>
        </w:rPr>
        <w:t>2) kontrolowanie podstawowych wersji używanego produktów ICT lub usług ICT, a jeżeli to możliwe, korzystanie z mechanizmów kontroli instalacji produktów ICT lub usług ICT na urządzeniach, w tym na urządzeniach mobilnych;</w:t>
      </w:r>
    </w:p>
    <w:p>
      <w:pPr>
        <w:spacing w:before="25" w:after="0"/>
        <w:ind w:left="0"/>
        <w:jc w:val="left"/>
        <w:textAlignment w:val="auto"/>
      </w:pPr>
      <w:r>
        <w:rPr>
          <w:rFonts w:ascii="Times New Roman"/>
          <w:b w:val="false"/>
          <w:i w:val="false"/>
          <w:color w:val="000000"/>
          <w:sz w:val="24"/>
          <w:lang w:val="pl-PL"/>
        </w:rPr>
        <w:t>3) zapewnienie ochrony przetwarzanych informacji przed ich kradzieżą, nieuprawnionym dostępem, uszkodzeniami lub zakłóceniami, w zakresie:</w:t>
      </w:r>
    </w:p>
    <w:p>
      <w:pPr>
        <w:spacing w:before="25" w:after="0"/>
        <w:ind w:left="0"/>
        <w:jc w:val="left"/>
        <w:textAlignment w:val="auto"/>
      </w:pPr>
      <w:r>
        <w:rPr>
          <w:rFonts w:ascii="Times New Roman"/>
          <w:b w:val="false"/>
          <w:i w:val="false"/>
          <w:color w:val="000000"/>
          <w:sz w:val="24"/>
          <w:lang w:val="pl-PL"/>
        </w:rPr>
        <w:t>a) ochrony fizycznej miejsc, w których jest przetwarzana informacja, w przypadku przetwarzania danych w urządzeniach znajdujących się pod kontrolą podmiotu,</w:t>
      </w:r>
    </w:p>
    <w:p>
      <w:pPr>
        <w:spacing w:before="25" w:after="0"/>
        <w:ind w:left="0"/>
        <w:jc w:val="left"/>
        <w:textAlignment w:val="auto"/>
      </w:pPr>
      <w:r>
        <w:rPr>
          <w:rFonts w:ascii="Times New Roman"/>
          <w:b w:val="false"/>
          <w:i w:val="false"/>
          <w:color w:val="000000"/>
          <w:sz w:val="24"/>
          <w:lang w:val="pl-PL"/>
        </w:rPr>
        <w:t>b) ochrony wykorzystującej oprogramowanie zabezpieczające lub sprzętowe zabezpieczenia, w które są wyposażone urządzenia przetwarzające informacje, albo</w:t>
      </w:r>
    </w:p>
    <w:p>
      <w:pPr>
        <w:spacing w:before="25" w:after="0"/>
        <w:ind w:left="0"/>
        <w:jc w:val="left"/>
        <w:textAlignment w:val="auto"/>
      </w:pPr>
      <w:r>
        <w:rPr>
          <w:rFonts w:ascii="Times New Roman"/>
          <w:b w:val="false"/>
          <w:i w:val="false"/>
          <w:color w:val="000000"/>
          <w:sz w:val="24"/>
          <w:lang w:val="pl-PL"/>
        </w:rPr>
        <w:t>c) udokumentowania mechanizmów zapewnienia ochrony przetwarzanych informacji przed ich kradzieżą, nieuprawnionym dostępem, uszkodzeniami lub zakłóceniami w przypadku korzystania z usług dostawcy chmury obliczeniowej lub dostawcy usługi centrum przetwarzania danych;</w:t>
      </w:r>
    </w:p>
    <w:p>
      <w:pPr>
        <w:spacing w:before="25" w:after="0"/>
        <w:ind w:left="0"/>
        <w:jc w:val="left"/>
        <w:textAlignment w:val="auto"/>
      </w:pPr>
      <w:r>
        <w:rPr>
          <w:rFonts w:ascii="Times New Roman"/>
          <w:b w:val="false"/>
          <w:i w:val="false"/>
          <w:color w:val="000000"/>
          <w:sz w:val="24"/>
          <w:lang w:val="pl-PL"/>
        </w:rPr>
        <w:t>4) dopuszczenie do informacji wyłącznie osób posiadających stosowne uprawnienia do systemów informacyjnych (w tym systemów operacyjnych, usług sieciowych i aplikacji) oraz zapewnienie środków uniemożliwiających nieautoryzowany dostęp do tych systemów;</w:t>
      </w:r>
    </w:p>
    <w:p>
      <w:pPr>
        <w:spacing w:before="25" w:after="0"/>
        <w:ind w:left="0"/>
        <w:jc w:val="left"/>
        <w:textAlignment w:val="auto"/>
      </w:pPr>
      <w:r>
        <w:rPr>
          <w:rFonts w:ascii="Times New Roman"/>
          <w:b w:val="false"/>
          <w:i w:val="false"/>
          <w:color w:val="000000"/>
          <w:sz w:val="24"/>
          <w:lang w:val="pl-PL"/>
        </w:rPr>
        <w:t>5) stosowanie zasad przyznania minimalnych uprawnień niezbędnych dla realizacji zadań;</w:t>
      </w:r>
    </w:p>
    <w:p>
      <w:pPr>
        <w:spacing w:before="25" w:after="0"/>
        <w:ind w:left="0"/>
        <w:jc w:val="left"/>
        <w:textAlignment w:val="auto"/>
      </w:pPr>
      <w:r>
        <w:rPr>
          <w:rFonts w:ascii="Times New Roman"/>
          <w:b w:val="false"/>
          <w:i w:val="false"/>
          <w:color w:val="000000"/>
          <w:sz w:val="24"/>
          <w:lang w:val="pl-PL"/>
        </w:rPr>
        <w:t>6) bezzwłoczne cofanie przyznanych uprawnień w przypadku stwierdzenia braku podstawy dostępu do informacji na stałe lub zawieszanie uprawnień w przypadku niewykonywania obowiązków co najmniej przez jeden miesiąc;</w:t>
      </w:r>
    </w:p>
    <w:p>
      <w:pPr>
        <w:spacing w:before="25" w:after="0"/>
        <w:ind w:left="0"/>
        <w:jc w:val="left"/>
        <w:textAlignment w:val="auto"/>
      </w:pPr>
      <w:r>
        <w:rPr>
          <w:rFonts w:ascii="Times New Roman"/>
          <w:b w:val="false"/>
          <w:i w:val="false"/>
          <w:color w:val="000000"/>
          <w:sz w:val="24"/>
          <w:lang w:val="pl-PL"/>
        </w:rPr>
        <w:t>7) modyfikację zakresu przyznanych uprawnień, jeżeli jest to zasadne z uwagi na zmianę charakteru wykonywanych zadań i zakresu dostępu do informacji;</w:t>
      </w:r>
    </w:p>
    <w:p>
      <w:pPr>
        <w:spacing w:before="25" w:after="0"/>
        <w:ind w:left="0"/>
        <w:jc w:val="left"/>
        <w:textAlignment w:val="auto"/>
      </w:pPr>
      <w:r>
        <w:rPr>
          <w:rFonts w:ascii="Times New Roman"/>
          <w:b w:val="false"/>
          <w:i w:val="false"/>
          <w:color w:val="000000"/>
          <w:sz w:val="24"/>
          <w:lang w:val="pl-PL"/>
        </w:rPr>
        <w:t>8) ustanowienie podstawowych zasad gwarantujących bezpieczną pracę przy przetwarzaniu mobilnym i pracy na odległość;</w:t>
      </w:r>
    </w:p>
    <w:p>
      <w:pPr>
        <w:spacing w:before="25" w:after="0"/>
        <w:ind w:left="0"/>
        <w:jc w:val="left"/>
        <w:textAlignment w:val="auto"/>
      </w:pPr>
      <w:r>
        <w:rPr>
          <w:rFonts w:ascii="Times New Roman"/>
          <w:b w:val="false"/>
          <w:i w:val="false"/>
          <w:color w:val="000000"/>
          <w:sz w:val="24"/>
          <w:lang w:val="pl-PL"/>
        </w:rPr>
        <w:t>9) kontrolę usług poczty elektronicznej wykorzystującej mechanizmy, o których mowa w art. 24 ust. 1 ustawy z dnia 28 lipca 2023 r. o zwalczaniu nadużyć w komunikacji elektronicznej;</w:t>
      </w:r>
    </w:p>
    <w:p>
      <w:pPr>
        <w:spacing w:before="25" w:after="0"/>
        <w:ind w:left="0"/>
        <w:jc w:val="left"/>
        <w:textAlignment w:val="auto"/>
      </w:pPr>
      <w:r>
        <w:rPr>
          <w:rFonts w:ascii="Times New Roman"/>
          <w:b w:val="false"/>
          <w:i w:val="false"/>
          <w:color w:val="000000"/>
          <w:sz w:val="24"/>
          <w:lang w:val="pl-PL"/>
        </w:rPr>
        <w:t>10) wykonywanie zapasowych kopii danych odseparowanych logicznie i fizycznie od danych przetwarzanych w systemach informacyjnych dla realizacji zadania publicznego;</w:t>
      </w:r>
    </w:p>
    <w:p>
      <w:pPr>
        <w:spacing w:before="25" w:after="0"/>
        <w:ind w:left="0"/>
        <w:jc w:val="left"/>
        <w:textAlignment w:val="auto"/>
      </w:pPr>
      <w:r>
        <w:rPr>
          <w:rFonts w:ascii="Times New Roman"/>
          <w:b w:val="false"/>
          <w:i w:val="false"/>
          <w:color w:val="000000"/>
          <w:sz w:val="24"/>
          <w:lang w:val="pl-PL"/>
        </w:rPr>
        <w:t>11) testowanie pod kątem kompletności i możliwości odtworzenia danych zawartych w zapasowych kopiach;</w:t>
      </w:r>
    </w:p>
    <w:p>
      <w:pPr>
        <w:spacing w:before="25" w:after="0"/>
        <w:ind w:left="0"/>
        <w:jc w:val="left"/>
        <w:textAlignment w:val="auto"/>
      </w:pPr>
      <w:r>
        <w:rPr>
          <w:rFonts w:ascii="Times New Roman"/>
          <w:b w:val="false"/>
          <w:i w:val="false"/>
          <w:color w:val="000000"/>
          <w:sz w:val="24"/>
          <w:lang w:val="pl-PL"/>
        </w:rPr>
        <w:t>12) przygotowanie i testowanie procedury w przypadku wystąpienia awarii lub incydentu;</w:t>
      </w:r>
    </w:p>
    <w:p>
      <w:pPr>
        <w:spacing w:before="25" w:after="0"/>
        <w:ind w:left="0"/>
        <w:jc w:val="left"/>
        <w:textAlignment w:val="auto"/>
      </w:pPr>
      <w:r>
        <w:rPr>
          <w:rFonts w:ascii="Times New Roman"/>
          <w:b w:val="false"/>
          <w:i w:val="false"/>
          <w:color w:val="000000"/>
          <w:sz w:val="24"/>
          <w:lang w:val="pl-PL"/>
        </w:rPr>
        <w:t>13) stosowanie oprogramowania antywirusowego;</w:t>
      </w:r>
    </w:p>
    <w:p>
      <w:pPr>
        <w:spacing w:before="25" w:after="0"/>
        <w:ind w:left="0"/>
        <w:jc w:val="left"/>
        <w:textAlignment w:val="auto"/>
      </w:pPr>
      <w:r>
        <w:rPr>
          <w:rFonts w:ascii="Times New Roman"/>
          <w:b w:val="false"/>
          <w:i w:val="false"/>
          <w:color w:val="000000"/>
          <w:sz w:val="24"/>
          <w:lang w:val="pl-PL"/>
        </w:rPr>
        <w:t>14) stosowanie zasad cyberhigieny przez pracowników korzystających z systemów informacyjnych, w tym kierownika podmiotu;</w:t>
      </w:r>
    </w:p>
    <w:p>
      <w:pPr>
        <w:spacing w:before="25" w:after="0"/>
        <w:ind w:left="0"/>
        <w:jc w:val="left"/>
        <w:textAlignment w:val="auto"/>
      </w:pPr>
      <w:r>
        <w:rPr>
          <w:rFonts w:ascii="Times New Roman"/>
          <w:b w:val="false"/>
          <w:i w:val="false"/>
          <w:color w:val="000000"/>
          <w:sz w:val="24"/>
          <w:lang w:val="pl-PL"/>
        </w:rPr>
        <w:t>15) monitorowanie częstotliwości wydawania kolejnych wersji produktów ICT, źródeł dystrybucji produktów ICT oraz cyklu życia produktów ICT w celu zapewnienia bezpieczeństwa systemu informacyjnego;</w:t>
      </w:r>
    </w:p>
    <w:p>
      <w:pPr>
        <w:spacing w:before="25" w:after="0"/>
        <w:ind w:left="0"/>
        <w:jc w:val="left"/>
        <w:textAlignment w:val="auto"/>
      </w:pPr>
      <w:r>
        <w:rPr>
          <w:rFonts w:ascii="Times New Roman"/>
          <w:b w:val="false"/>
          <w:i w:val="false"/>
          <w:color w:val="000000"/>
          <w:sz w:val="24"/>
          <w:lang w:val="pl-PL"/>
        </w:rPr>
        <w:t>16) stosowanie stabilnych wersji produktów ICT lub usług ICT, w stosunku do których nie występują informacje o krytycznych podatnościach, a w przypadku ich wystąpienia dopuszczalne jest stosowanie tych wersji produktów ICT lub usług ICT, które nie stwarzają istotnego negatywnego wpływu na poziom bezpieczeństwa systemów informacyjnych;</w:t>
      </w:r>
    </w:p>
    <w:p>
      <w:pPr>
        <w:spacing w:before="25" w:after="0"/>
        <w:ind w:left="0"/>
        <w:jc w:val="left"/>
        <w:textAlignment w:val="auto"/>
      </w:pPr>
      <w:r>
        <w:rPr>
          <w:rFonts w:ascii="Times New Roman"/>
          <w:b w:val="false"/>
          <w:i w:val="false"/>
          <w:color w:val="000000"/>
          <w:sz w:val="24"/>
          <w:lang w:val="pl-PL"/>
        </w:rPr>
        <w:t>17) stosowanie środków minimalizujących wystąpienie incydentów przez szkolenie osób zaangażowanych w proces przetwarzania informacji, ze szczególnym uwzględnieniem takich zagadnień, jak:</w:t>
      </w:r>
    </w:p>
    <w:p>
      <w:pPr>
        <w:spacing w:before="25" w:after="0"/>
        <w:ind w:left="0"/>
        <w:jc w:val="left"/>
        <w:textAlignment w:val="auto"/>
      </w:pPr>
      <w:r>
        <w:rPr>
          <w:rFonts w:ascii="Times New Roman"/>
          <w:b w:val="false"/>
          <w:i w:val="false"/>
          <w:color w:val="000000"/>
          <w:sz w:val="24"/>
          <w:lang w:val="pl-PL"/>
        </w:rPr>
        <w:t>a) rodzaje cyberzagrożeń,</w:t>
      </w:r>
    </w:p>
    <w:p>
      <w:pPr>
        <w:spacing w:before="25" w:after="0"/>
        <w:ind w:left="0"/>
        <w:jc w:val="left"/>
        <w:textAlignment w:val="auto"/>
      </w:pPr>
      <w:r>
        <w:rPr>
          <w:rFonts w:ascii="Times New Roman"/>
          <w:b w:val="false"/>
          <w:i w:val="false"/>
          <w:color w:val="000000"/>
          <w:sz w:val="24"/>
          <w:lang w:val="pl-PL"/>
        </w:rPr>
        <w:t>b) podstawowe zasady cyberhigieny,</w:t>
      </w:r>
    </w:p>
    <w:p>
      <w:pPr>
        <w:spacing w:before="25" w:after="0"/>
        <w:ind w:left="0"/>
        <w:jc w:val="left"/>
        <w:textAlignment w:val="auto"/>
      </w:pPr>
      <w:r>
        <w:rPr>
          <w:rFonts w:ascii="Times New Roman"/>
          <w:b w:val="false"/>
          <w:i w:val="false"/>
          <w:color w:val="000000"/>
          <w:sz w:val="24"/>
          <w:lang w:val="pl-PL"/>
        </w:rPr>
        <w:t>c) reagowania na wystąpienie incydentu,</w:t>
      </w:r>
    </w:p>
    <w:p>
      <w:pPr>
        <w:spacing w:before="25" w:after="0"/>
        <w:ind w:left="0"/>
        <w:jc w:val="left"/>
        <w:textAlignment w:val="auto"/>
      </w:pPr>
      <w:r>
        <w:rPr>
          <w:rFonts w:ascii="Times New Roman"/>
          <w:b w:val="false"/>
          <w:i w:val="false"/>
          <w:color w:val="000000"/>
          <w:sz w:val="24"/>
          <w:lang w:val="pl-PL"/>
        </w:rPr>
        <w:t>d) świadomość skutków naruszenia zasad bezpieczeństwa informacji;</w:t>
      </w:r>
    </w:p>
    <w:p>
      <w:pPr>
        <w:spacing w:before="25" w:after="0"/>
        <w:ind w:left="0"/>
        <w:jc w:val="left"/>
        <w:textAlignment w:val="auto"/>
      </w:pPr>
      <w:r>
        <w:rPr>
          <w:rFonts w:ascii="Times New Roman"/>
          <w:b w:val="false"/>
          <w:i w:val="false"/>
          <w:color w:val="000000"/>
          <w:sz w:val="24"/>
          <w:lang w:val="pl-PL"/>
        </w:rPr>
        <w:t>18) określenie procedur i zasad działania podmiotu na wypadek wystąpienia cyberzagrożenia lub w przypadku wystąpienia incydentu.</w:t>
      </w:r>
    </w:p>
    <w:p>
      <w:pPr>
        <w:spacing w:before="25" w:after="0"/>
        <w:ind w:left="0"/>
        <w:jc w:val="left"/>
        <w:textAlignment w:val="auto"/>
      </w:pPr>
      <w:r>
        <w:rPr>
          <w:rFonts w:ascii="Times New Roman"/>
          <w:b w:val="false"/>
          <w:i w:val="false"/>
          <w:color w:val="000000"/>
          <w:sz w:val="24"/>
          <w:lang w:val="pl-PL"/>
        </w:rPr>
        <w:t>II. System zarządzania bezpieczeństwem informacji dla podmiotu ważnego będącego podmiotem publicznym może dodatkowo obejmować:</w:t>
      </w:r>
    </w:p>
    <w:p>
      <w:pPr>
        <w:spacing w:before="25" w:after="0"/>
        <w:ind w:left="0"/>
        <w:jc w:val="left"/>
        <w:textAlignment w:val="auto"/>
      </w:pPr>
      <w:r>
        <w:rPr>
          <w:rFonts w:ascii="Times New Roman"/>
          <w:b w:val="false"/>
          <w:i w:val="false"/>
          <w:color w:val="000000"/>
          <w:sz w:val="24"/>
          <w:lang w:val="pl-PL"/>
        </w:rPr>
        <w:t>1) stosowanie środków zapewniających bezpieczeństwo informacji, w tym produktów ICT, usług ICT lub procesów ICT minimalizujących ryzyko błędów ludzkich;</w:t>
      </w:r>
    </w:p>
    <w:p>
      <w:pPr>
        <w:spacing w:before="25" w:after="0"/>
        <w:ind w:left="0"/>
        <w:jc w:val="left"/>
        <w:textAlignment w:val="auto"/>
      </w:pPr>
      <w:r>
        <w:rPr>
          <w:rFonts w:ascii="Times New Roman"/>
          <w:b w:val="false"/>
          <w:i w:val="false"/>
          <w:color w:val="000000"/>
          <w:sz w:val="24"/>
          <w:lang w:val="pl-PL"/>
        </w:rPr>
        <w:t>2) stosowanie dedykowanych usług poczty elektronicznej dla podmiotu na podstawie umowy lub w ramach wspólnego wykonywania obowiązków z zakresu cyberbezpieczeństwa przy pomocy jednostki wyznaczonej, o której mowa w art. 16e ust. 1;</w:t>
      </w:r>
    </w:p>
    <w:p>
      <w:pPr>
        <w:spacing w:before="25" w:after="0"/>
        <w:ind w:left="0"/>
        <w:jc w:val="left"/>
        <w:textAlignment w:val="auto"/>
      </w:pPr>
      <w:r>
        <w:rPr>
          <w:rFonts w:ascii="Times New Roman"/>
          <w:b w:val="false"/>
          <w:i w:val="false"/>
          <w:color w:val="000000"/>
          <w:sz w:val="24"/>
          <w:lang w:val="pl-PL"/>
        </w:rPr>
        <w:t>3) zapewnienie wysokiej dostępności systemów informacyjnych:</w:t>
      </w:r>
    </w:p>
    <w:p>
      <w:pPr>
        <w:spacing w:before="25" w:after="0"/>
        <w:ind w:left="0"/>
        <w:jc w:val="left"/>
        <w:textAlignment w:val="auto"/>
      </w:pPr>
      <w:r>
        <w:rPr>
          <w:rFonts w:ascii="Times New Roman"/>
          <w:b w:val="false"/>
          <w:i w:val="false"/>
          <w:color w:val="000000"/>
          <w:sz w:val="24"/>
          <w:lang w:val="pl-PL"/>
        </w:rPr>
        <w:t>a) w zakresie określenia czasu dostępu do systemów informacyjnych,</w:t>
      </w:r>
    </w:p>
    <w:p>
      <w:pPr>
        <w:spacing w:before="25" w:after="0"/>
        <w:ind w:left="0"/>
        <w:jc w:val="left"/>
        <w:textAlignment w:val="auto"/>
      </w:pPr>
      <w:r>
        <w:rPr>
          <w:rFonts w:ascii="Times New Roman"/>
          <w:b w:val="false"/>
          <w:i w:val="false"/>
          <w:color w:val="000000"/>
          <w:sz w:val="24"/>
          <w:lang w:val="pl-PL"/>
        </w:rPr>
        <w:t>b) przez zapewnianie zdolności działania systemu informacyjnego i jego dostępności niezależnie od wystąpienia awarii lub incydentu;</w:t>
      </w:r>
    </w:p>
    <w:p>
      <w:pPr>
        <w:spacing w:before="25" w:after="0"/>
        <w:ind w:left="0"/>
        <w:jc w:val="left"/>
        <w:textAlignment w:val="auto"/>
      </w:pPr>
      <w:r>
        <w:rPr>
          <w:rFonts w:ascii="Times New Roman"/>
          <w:b w:val="false"/>
          <w:i w:val="false"/>
          <w:color w:val="000000"/>
          <w:sz w:val="24"/>
          <w:lang w:val="pl-PL"/>
        </w:rPr>
        <w:t>4) określanie i kontrolowanie zasad korzystania przez podmiotu publicznego będącego podmiotem ważnym z:</w:t>
      </w:r>
    </w:p>
    <w:p>
      <w:pPr>
        <w:spacing w:before="25" w:after="0"/>
        <w:ind w:left="0"/>
        <w:jc w:val="left"/>
        <w:textAlignment w:val="auto"/>
      </w:pPr>
      <w:r>
        <w:rPr>
          <w:rFonts w:ascii="Times New Roman"/>
          <w:b w:val="false"/>
          <w:i w:val="false"/>
          <w:color w:val="000000"/>
          <w:sz w:val="24"/>
          <w:lang w:val="pl-PL"/>
        </w:rPr>
        <w:t>a) ogólnodostępnych usług dostawców chmury obliczeniowej,</w:t>
      </w:r>
    </w:p>
    <w:p>
      <w:pPr>
        <w:spacing w:before="25" w:after="0"/>
        <w:ind w:left="0"/>
        <w:jc w:val="left"/>
        <w:textAlignment w:val="auto"/>
      </w:pPr>
      <w:r>
        <w:rPr>
          <w:rFonts w:ascii="Times New Roman"/>
          <w:b w:val="false"/>
          <w:i w:val="false"/>
          <w:color w:val="000000"/>
          <w:sz w:val="24"/>
          <w:lang w:val="pl-PL"/>
        </w:rPr>
        <w:t>b) usług ogólnodostępnych dużych generatywnych modeli sztucznej inteligencji;</w:t>
      </w:r>
    </w:p>
    <w:p>
      <w:pPr>
        <w:spacing w:before="25" w:after="0"/>
        <w:ind w:left="0"/>
        <w:jc w:val="left"/>
        <w:textAlignment w:val="auto"/>
      </w:pPr>
      <w:r>
        <w:rPr>
          <w:rFonts w:ascii="Times New Roman"/>
          <w:b w:val="false"/>
          <w:i w:val="false"/>
          <w:color w:val="000000"/>
          <w:sz w:val="24"/>
          <w:lang w:val="pl-PL"/>
        </w:rPr>
        <w:t>5) monitorowanie dostępu do informacji oraz stanu działania systemów informacyjnych za pomocą dedykowanego oprogramowania wykorzystywanego przez pracowników albo korzystanie w tym zakresie z usług dostawcy usług zarządzanych w zakresie cyberbezpieczeństwa;</w:t>
      </w:r>
    </w:p>
    <w:p>
      <w:pPr>
        <w:spacing w:before="25" w:after="0"/>
        <w:ind w:left="0"/>
        <w:jc w:val="left"/>
        <w:textAlignment w:val="auto"/>
      </w:pPr>
      <w:r>
        <w:rPr>
          <w:rFonts w:ascii="Times New Roman"/>
          <w:b w:val="false"/>
          <w:i w:val="false"/>
          <w:color w:val="000000"/>
          <w:sz w:val="24"/>
          <w:lang w:val="pl-PL"/>
        </w:rPr>
        <w:t>6) testowanie poziomów bezpieczeństwa systemów informacyjnych oraz zasad cyberhigieny przez pracowników;</w:t>
      </w:r>
    </w:p>
    <w:p>
      <w:pPr>
        <w:spacing w:before="25" w:after="0"/>
        <w:ind w:left="0"/>
        <w:jc w:val="left"/>
        <w:textAlignment w:val="auto"/>
      </w:pPr>
      <w:r>
        <w:rPr>
          <w:rFonts w:ascii="Times New Roman"/>
          <w:b w:val="false"/>
          <w:i w:val="false"/>
          <w:color w:val="000000"/>
          <w:sz w:val="24"/>
          <w:lang w:val="pl-PL"/>
        </w:rPr>
        <w:t>7) zawieranie w umowach serwisowych podpisanych ze stronami trzecimi zapisów gwarantujących odpowiedni poziom bezpieczeństwa systemów informacyjnych;</w:t>
      </w:r>
    </w:p>
    <w:p>
      <w:pPr>
        <w:spacing w:before="25" w:after="0"/>
        <w:ind w:left="0"/>
        <w:jc w:val="left"/>
        <w:textAlignment w:val="auto"/>
      </w:pPr>
      <w:r>
        <w:rPr>
          <w:rFonts w:ascii="Times New Roman"/>
          <w:b w:val="false"/>
          <w:i w:val="false"/>
          <w:color w:val="000000"/>
          <w:sz w:val="24"/>
          <w:lang w:val="pl-PL"/>
        </w:rPr>
        <w:t>8) zapewnienie aktualności wykorzystywanych produktów ICT oraz usług ICT;</w:t>
      </w:r>
    </w:p>
    <w:p>
      <w:pPr>
        <w:spacing w:before="25" w:after="0"/>
        <w:ind w:left="0"/>
        <w:jc w:val="left"/>
        <w:textAlignment w:val="auto"/>
      </w:pPr>
      <w:r>
        <w:rPr>
          <w:rFonts w:ascii="Times New Roman"/>
          <w:b w:val="false"/>
          <w:i w:val="false"/>
          <w:color w:val="000000"/>
          <w:sz w:val="24"/>
          <w:lang w:val="pl-PL"/>
        </w:rPr>
        <w:t>9) stosowanie dodatkowych środków technicznych i organizacyjnych, jeżeli jest to konieczne dla zapewnienia odpowiedniego poziomu bezpieczeństwa systemów informacyjnych.</w:t>
      </w:r>
    </w:p>
    <w:p>
      <w:pPr>
        <w:spacing w:before="25" w:after="0"/>
        <w:ind w:left="0"/>
        <w:jc w:val="left"/>
        <w:textAlignment w:val="auto"/>
      </w:pPr>
      <w:r>
        <w:rPr>
          <w:rFonts w:ascii="Times New Roman"/>
          <w:b w:val="false"/>
          <w:i w:val="false"/>
          <w:color w:val="000000"/>
          <w:sz w:val="24"/>
          <w:lang w:val="pl-PL"/>
        </w:rPr>
        <w:t>III. Podmiot ważny będący podmiotem publicznym dokonuje przeglądu systemu zarządzania bezpieczeństwem informacji:</w:t>
      </w:r>
    </w:p>
    <w:p>
      <w:pPr>
        <w:spacing w:before="25" w:after="0"/>
        <w:ind w:left="0"/>
        <w:jc w:val="left"/>
        <w:textAlignment w:val="auto"/>
      </w:pPr>
      <w:r>
        <w:rPr>
          <w:rFonts w:ascii="Times New Roman"/>
          <w:b w:val="false"/>
          <w:i w:val="false"/>
          <w:color w:val="000000"/>
          <w:sz w:val="24"/>
          <w:lang w:val="pl-PL"/>
        </w:rPr>
        <w:t>1) co najmniej raz w roku albo</w:t>
      </w:r>
    </w:p>
    <w:p>
      <w:pPr>
        <w:spacing w:before="25" w:after="0"/>
        <w:ind w:left="0"/>
        <w:jc w:val="left"/>
        <w:textAlignment w:val="auto"/>
      </w:pPr>
      <w:r>
        <w:rPr>
          <w:rFonts w:ascii="Times New Roman"/>
          <w:b w:val="false"/>
          <w:i w:val="false"/>
          <w:color w:val="000000"/>
          <w:sz w:val="24"/>
          <w:lang w:val="pl-PL"/>
        </w:rPr>
        <w:t>2) bezzwłocznie w przypadku wydania przez Pełnomocnika Rządu do Spraw Cyberbezpieczeństwa rekomendacji, w zakresie, w jakim dotyczy ona systemów informacyjnych, produktów ICT lub usług ICT podmiotu, albo</w:t>
      </w:r>
    </w:p>
    <w:p>
      <w:pPr>
        <w:spacing w:before="25" w:after="0"/>
        <w:ind w:left="0"/>
        <w:jc w:val="left"/>
        <w:textAlignment w:val="auto"/>
      </w:pPr>
      <w:r>
        <w:rPr>
          <w:rFonts w:ascii="Times New Roman"/>
          <w:b w:val="false"/>
          <w:i w:val="false"/>
          <w:color w:val="000000"/>
          <w:sz w:val="24"/>
          <w:lang w:val="pl-PL"/>
        </w:rPr>
        <w:t>3) bezzwłocznie w przypadku wystąpienia okoliczności, które mogą wpłynąć na ryzyko wystąpienia incydentu poważnego i wymagających ponownego zrealizowania działań opisanych w przyjętym systemie zarządzania bezpieczeństwie informacji lub zmian w samym systemie.</w:t>
      </w:r>
    </w:p>
    <w:p>
      <w:pPr>
        <w:spacing w:before="25" w:after="0"/>
        <w:ind w:left="0"/>
        <w:jc w:val="left"/>
        <w:textAlignment w:val="auto"/>
      </w:pPr>
      <w:r>
        <w:rPr>
          <w:rFonts w:ascii="Times New Roman"/>
          <w:b w:val="false"/>
          <w:i w:val="false"/>
          <w:color w:val="000000"/>
          <w:sz w:val="24"/>
          <w:lang w:val="pl-PL"/>
        </w:rPr>
        <w:t>IV. Podmiot ważny będący podmiotem publicznym dokumentuje realizację działań wskazanych do realizacji w systemie zarządzania cyberbezpieczeństwa.</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w:t>
      </w:r>
      <w:r>
        <w:rPr>
          <w:rFonts w:ascii="Times New Roman"/>
          <w:b w:val="false"/>
          <w:i w:val="false"/>
          <w:color w:val="000000"/>
          <w:sz w:val="24"/>
          <w:lang w:val="pl-PL"/>
        </w:rPr>
        <w:t xml:space="preserve"> Niniejsza ustawa wdraża </w:t>
      </w:r>
      <w:r>
        <w:rPr>
          <w:rFonts w:ascii="Times New Roman"/>
          <w:b w:val="false"/>
          <w:i w:val="false"/>
          <w:color w:val="1b1b1b"/>
          <w:sz w:val="24"/>
          <w:lang w:val="pl-PL"/>
        </w:rPr>
        <w:t>dyrektywę</w:t>
      </w:r>
      <w:r>
        <w:rPr>
          <w:rFonts w:ascii="Times New Roman"/>
          <w:b w:val="false"/>
          <w:i w:val="false"/>
          <w:color w:val="000000"/>
          <w:sz w:val="24"/>
          <w:lang w:val="pl-PL"/>
        </w:rPr>
        <w:t xml:space="preserve"> Parlamentu Europejskiego i Rady (UE) 2022/2555 z dnia 14 grudnia 2022 r. w sprawie środków na rzecz wysokiego wspólnego poziomu cyberbezpieczeństwa na terytorium Unii, zmieniającą rozporządzenie (UE) nr 910/2014 i dyrektywę (UE) 2018/1972 oraz uchylającą dyrektywę (UE) 2016/1148 (dyrektywa NIS 2) (Dz. Urz. UE L 333 z 27.12.2022, str. 80).</w:t>
      </w:r>
      <w:r>
        <w:rPr>
          <w:rFonts w:ascii="Times New Roman"/>
          <w:b w:val="false"/>
          <w:i w:val="false"/>
          <w:color w:val="000000"/>
          <w:sz w:val="24"/>
          <w:lang w:val="pl-PL"/>
        </w:rPr>
        <w:t xml:space="preserve"> </w:t>
      </w:r>
      <w:r>
        <w:rPr>
          <w:rFonts w:ascii="Times New Roman"/>
          <w:b w:val="false"/>
          <w:i w:val="false"/>
          <w:color w:val="000000"/>
          <w:sz w:val="24"/>
          <w:lang w:val="pl-PL"/>
        </w:rPr>
        <w:t>_____</w:t>
      </w:r>
      <w:r>
        <w:rPr>
          <w:rFonts w:ascii="Times New Roman"/>
          <w:b w:val="false"/>
          <w:i w:val="false"/>
          <w:color w:val="000000"/>
          <w:sz w:val="24"/>
          <w:lang w:val="pl-PL"/>
        </w:rPr>
        <w:t xml:space="preserve"> </w:t>
      </w:r>
      <w:r>
        <w:rPr>
          <w:rFonts w:ascii="Times New Roman"/>
          <w:b w:val="false"/>
          <w:i/>
          <w:color w:val="000000"/>
          <w:sz w:val="24"/>
          <w:lang w:val="pl-PL"/>
        </w:rPr>
        <w:t xml:space="preserve">Odnośnik nr 1 zmieniony przez </w:t>
      </w:r>
      <w:r>
        <w:rPr>
          <w:rFonts w:ascii="Times New Roman"/>
          <w:b w:val="false"/>
          <w:i/>
          <w:color w:val="1b1b1b"/>
          <w:sz w:val="24"/>
          <w:lang w:val="pl-PL"/>
        </w:rPr>
        <w:t>art. 1 pkt 1</w:t>
      </w:r>
      <w:r>
        <w:rPr>
          <w:rFonts w:ascii="Times New Roman"/>
          <w:b w:val="false"/>
          <w:i w:val="false"/>
          <w:color w:val="000000"/>
          <w:sz w:val="24"/>
          <w:lang w:val="pl-PL"/>
        </w:rPr>
        <w:t xml:space="preserve"> </w:t>
      </w:r>
      <w:r>
        <w:rPr>
          <w:rFonts w:ascii="Times New Roman"/>
          <w:b w:val="false"/>
          <w:i/>
          <w:color w:val="000000"/>
          <w:sz w:val="24"/>
          <w:lang w:val="pl-PL"/>
        </w:rPr>
        <w:t>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Niniejsza ustawa służy częściowemu stosowaniu </w:t>
      </w:r>
      <w:r>
        <w:rPr>
          <w:rFonts w:ascii="Times New Roman"/>
          <w:b w:val="false"/>
          <w:i w:val="false"/>
          <w:color w:val="1b1b1b"/>
          <w:sz w:val="24"/>
          <w:lang w:val="pl-PL"/>
        </w:rPr>
        <w:t>rozporządzenia</w:t>
      </w:r>
      <w:r>
        <w:rPr>
          <w:rFonts w:ascii="Times New Roman"/>
          <w:b w:val="false"/>
          <w:i w:val="false"/>
          <w:color w:val="000000"/>
          <w:sz w:val="24"/>
          <w:lang w:val="pl-PL"/>
        </w:rPr>
        <w:t xml:space="preserve"> delegowanego Komisji (UE) 2024/1366 z dnia 11 marca 2024 r. uzupełniającego rozporządzenie Parlamentu Europejskiego i Rady (UE) 2019/943 poprzez ustanowienie kodeksu sieci dotyczącego zasad sektorowych w zakresie aspektów cyberbezpieczeństwa w transgranicznych przepływach energii elektrycznej (Dz. Urz. UE L 2024/1366 z 24.05.2024).</w:t>
      </w:r>
      <w:r>
        <w:rPr>
          <w:rFonts w:ascii="Times New Roman"/>
          <w:b w:val="false"/>
          <w:i w:val="false"/>
          <w:color w:val="000000"/>
          <w:sz w:val="24"/>
          <w:lang w:val="pl-PL"/>
        </w:rPr>
        <w:t xml:space="preserve"> </w:t>
      </w:r>
      <w:r>
        <w:rPr>
          <w:rFonts w:ascii="Times New Roman"/>
          <w:b w:val="false"/>
          <w:i w:val="false"/>
          <w:color w:val="000000"/>
          <w:sz w:val="24"/>
          <w:lang w:val="pl-PL"/>
        </w:rPr>
        <w:t>_____</w:t>
      </w:r>
      <w:r>
        <w:rPr>
          <w:rFonts w:ascii="Times New Roman"/>
          <w:b w:val="false"/>
          <w:i w:val="false"/>
          <w:color w:val="000000"/>
          <w:sz w:val="24"/>
          <w:lang w:val="pl-PL"/>
        </w:rPr>
        <w:t xml:space="preserve"> </w:t>
      </w:r>
      <w:r>
        <w:rPr>
          <w:rFonts w:ascii="Times New Roman"/>
          <w:b w:val="false"/>
          <w:i/>
          <w:color w:val="000000"/>
          <w:sz w:val="24"/>
          <w:lang w:val="pl-PL"/>
        </w:rPr>
        <w:t xml:space="preserve">Odnośnik nr 2 dodany przez </w:t>
      </w:r>
      <w:r>
        <w:rPr>
          <w:rFonts w:ascii="Times New Roman"/>
          <w:b w:val="false"/>
          <w:i/>
          <w:color w:val="1b1b1b"/>
          <w:sz w:val="24"/>
          <w:lang w:val="pl-PL"/>
        </w:rPr>
        <w:t>art. 1 pkt 2</w:t>
      </w:r>
      <w:r>
        <w:rPr>
          <w:rFonts w:ascii="Times New Roman"/>
          <w:b w:val="false"/>
          <w:i w:val="false"/>
          <w:color w:val="000000"/>
          <w:sz w:val="24"/>
          <w:lang w:val="pl-PL"/>
        </w:rPr>
        <w:t xml:space="preserve"> </w:t>
      </w:r>
      <w:r>
        <w:rPr>
          <w:rFonts w:ascii="Times New Roman"/>
          <w:b w:val="false"/>
          <w:i/>
          <w:color w:val="000000"/>
          <w:sz w:val="24"/>
          <w:lang w:val="pl-PL"/>
        </w:rPr>
        <w:t>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1 ust. 1 pkt 4 dodany przez </w:t>
      </w:r>
      <w:r>
        <w:rPr>
          <w:rFonts w:ascii="Times New Roman"/>
          <w:b w:val="false"/>
          <w:i w:val="false"/>
          <w:color w:val="1b1b1b"/>
          <w:sz w:val="24"/>
          <w:lang w:val="pl-PL"/>
        </w:rPr>
        <w:t>art. 1 pkt 3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1 ust. 2 pkt 1 uchylony przez </w:t>
      </w:r>
      <w:r>
        <w:rPr>
          <w:rFonts w:ascii="Times New Roman"/>
          <w:b w:val="false"/>
          <w:i w:val="false"/>
          <w:color w:val="1b1b1b"/>
          <w:sz w:val="24"/>
          <w:lang w:val="pl-PL"/>
        </w:rPr>
        <w:t>art. 1 pkt 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1 ust. 2 pkt 2 uchylony przez </w:t>
      </w:r>
      <w:r>
        <w:rPr>
          <w:rFonts w:ascii="Times New Roman"/>
          <w:b w:val="false"/>
          <w:i w:val="false"/>
          <w:color w:val="1b1b1b"/>
          <w:sz w:val="24"/>
          <w:lang w:val="pl-PL"/>
        </w:rPr>
        <w:t>art. 1 pkt 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2 pkt 3a dodany przez </w:t>
      </w:r>
      <w:r>
        <w:rPr>
          <w:rFonts w:ascii="Times New Roman"/>
          <w:b w:val="false"/>
          <w:i w:val="false"/>
          <w:color w:val="1b1b1b"/>
          <w:sz w:val="24"/>
          <w:lang w:val="pl-PL"/>
        </w:rPr>
        <w:t>art. 1 pkt 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2 pkt 3b dodany przez </w:t>
      </w:r>
      <w:r>
        <w:rPr>
          <w:rFonts w:ascii="Times New Roman"/>
          <w:b w:val="false"/>
          <w:i w:val="false"/>
          <w:color w:val="1b1b1b"/>
          <w:sz w:val="24"/>
          <w:lang w:val="pl-PL"/>
        </w:rPr>
        <w:t>art. 1 pkt 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2 pkt 3c dodany przez </w:t>
      </w:r>
      <w:r>
        <w:rPr>
          <w:rFonts w:ascii="Times New Roman"/>
          <w:b w:val="false"/>
          <w:i w:val="false"/>
          <w:color w:val="1b1b1b"/>
          <w:sz w:val="24"/>
          <w:lang w:val="pl-PL"/>
        </w:rPr>
        <w:t>art. 1 pkt 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2 pkt 3d dodany przez </w:t>
      </w:r>
      <w:r>
        <w:rPr>
          <w:rFonts w:ascii="Times New Roman"/>
          <w:b w:val="false"/>
          <w:i w:val="false"/>
          <w:color w:val="1b1b1b"/>
          <w:sz w:val="24"/>
          <w:lang w:val="pl-PL"/>
        </w:rPr>
        <w:t>art. 1 pkt 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2 pkt 4 zmieniony przez </w:t>
      </w:r>
      <w:r>
        <w:rPr>
          <w:rFonts w:ascii="Times New Roman"/>
          <w:b w:val="false"/>
          <w:i w:val="false"/>
          <w:color w:val="1b1b1b"/>
          <w:sz w:val="24"/>
          <w:lang w:val="pl-PL"/>
        </w:rPr>
        <w:t>art. 1 pkt 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2 pkt 4a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2 pkt 4b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2 pkt 4c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2 pkt 4d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2 pkt 4e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2 pkt 4f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2 pkt 4g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2 pkt 4h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2 pkt 4i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2 pkt 4j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2 pkt 4k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2 pkt 4l dodany przez </w:t>
      </w:r>
      <w:r>
        <w:rPr>
          <w:rFonts w:ascii="Times New Roman"/>
          <w:b w:val="false"/>
          <w:i w:val="false"/>
          <w:color w:val="1b1b1b"/>
          <w:sz w:val="24"/>
          <w:lang w:val="pl-PL"/>
        </w:rPr>
        <w:t>art. 1 pkt 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2 pkt 5 zmieniony przez </w:t>
      </w:r>
      <w:r>
        <w:rPr>
          <w:rFonts w:ascii="Times New Roman"/>
          <w:b w:val="false"/>
          <w:i w:val="false"/>
          <w:color w:val="1b1b1b"/>
          <w:sz w:val="24"/>
          <w:lang w:val="pl-PL"/>
        </w:rPr>
        <w:t>art. 1 pkt 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Art. 2 pkt 7 zmieniony przez </w:t>
      </w:r>
      <w:r>
        <w:rPr>
          <w:rFonts w:ascii="Times New Roman"/>
          <w:b w:val="false"/>
          <w:i w:val="false"/>
          <w:color w:val="1b1b1b"/>
          <w:sz w:val="24"/>
          <w:lang w:val="pl-PL"/>
        </w:rPr>
        <w:t>art. 1 pkt 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Art. 2 pkt 8 zmieniony przez </w:t>
      </w:r>
      <w:r>
        <w:rPr>
          <w:rFonts w:ascii="Times New Roman"/>
          <w:b w:val="false"/>
          <w:i w:val="false"/>
          <w:color w:val="1b1b1b"/>
          <w:sz w:val="24"/>
          <w:lang w:val="pl-PL"/>
        </w:rPr>
        <w:t>art. 1 pkt 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w:t>
      </w:r>
      <w:r>
        <w:rPr>
          <w:rFonts w:ascii="Times New Roman"/>
          <w:b w:val="false"/>
          <w:i w:val="false"/>
          <w:color w:val="000000"/>
          <w:sz w:val="24"/>
          <w:lang w:val="pl-PL"/>
        </w:rPr>
        <w:t xml:space="preserve"> Art. 2 pkt 8a dodany przez </w:t>
      </w:r>
      <w:r>
        <w:rPr>
          <w:rFonts w:ascii="Times New Roman"/>
          <w:b w:val="false"/>
          <w:i w:val="false"/>
          <w:color w:val="1b1b1b"/>
          <w:sz w:val="24"/>
          <w:lang w:val="pl-PL"/>
        </w:rPr>
        <w:t>art. 1 pkt 4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Art. 2 pkt 9 uchylony przez </w:t>
      </w:r>
      <w:r>
        <w:rPr>
          <w:rFonts w:ascii="Times New Roman"/>
          <w:b w:val="false"/>
          <w:i w:val="false"/>
          <w:color w:val="1b1b1b"/>
          <w:sz w:val="24"/>
          <w:lang w:val="pl-PL"/>
        </w:rPr>
        <w:t>art. 1 pkt 4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Art. 2 pkt 10a dodany przez </w:t>
      </w:r>
      <w:r>
        <w:rPr>
          <w:rFonts w:ascii="Times New Roman"/>
          <w:b w:val="false"/>
          <w:i w:val="false"/>
          <w:color w:val="1b1b1b"/>
          <w:sz w:val="24"/>
          <w:lang w:val="pl-PL"/>
        </w:rPr>
        <w:t>art. 1 pkt 4 lit. h</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Art. 2 pkt 11 zmieniony przez </w:t>
      </w:r>
      <w:r>
        <w:rPr>
          <w:rFonts w:ascii="Times New Roman"/>
          <w:b w:val="false"/>
          <w:i w:val="false"/>
          <w:color w:val="1b1b1b"/>
          <w:sz w:val="24"/>
          <w:lang w:val="pl-PL"/>
        </w:rPr>
        <w:t>art. 1 pkt 4 lit. i</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Art. 2 pkt 11a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Art. 2 pkt 11b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Art. 2 pkt 11c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Art. 2 pkt 11d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w:t>
      </w:r>
      <w:r>
        <w:rPr>
          <w:rFonts w:ascii="Times New Roman"/>
          <w:b w:val="false"/>
          <w:i w:val="false"/>
          <w:color w:val="000000"/>
          <w:sz w:val="24"/>
          <w:lang w:val="pl-PL"/>
        </w:rPr>
        <w:t xml:space="preserve"> Art. 2 pkt 11e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Art. 2 pkt 11f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w:t>
      </w:r>
      <w:r>
        <w:rPr>
          <w:rFonts w:ascii="Times New Roman"/>
          <w:b w:val="false"/>
          <w:i w:val="false"/>
          <w:color w:val="000000"/>
          <w:sz w:val="24"/>
          <w:lang w:val="pl-PL"/>
        </w:rPr>
        <w:t xml:space="preserve"> Art. 2 pkt 11g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Art. 2 pkt 11h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Art. 2 pkt 11i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w:t>
      </w:r>
      <w:r>
        <w:rPr>
          <w:rFonts w:ascii="Times New Roman"/>
          <w:b w:val="false"/>
          <w:i w:val="false"/>
          <w:color w:val="000000"/>
          <w:sz w:val="24"/>
          <w:lang w:val="pl-PL"/>
        </w:rPr>
        <w:t xml:space="preserve"> Art. 2 pkt 11j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Art. 2 pkt 11k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w:t>
      </w:r>
      <w:r>
        <w:rPr>
          <w:rFonts w:ascii="Times New Roman"/>
          <w:b w:val="false"/>
          <w:i w:val="false"/>
          <w:color w:val="000000"/>
          <w:sz w:val="24"/>
          <w:lang w:val="pl-PL"/>
        </w:rPr>
        <w:t xml:space="preserve"> Art. 2 pkt 11l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w:t>
      </w:r>
      <w:r>
        <w:rPr>
          <w:rFonts w:ascii="Times New Roman"/>
          <w:b w:val="false"/>
          <w:i w:val="false"/>
          <w:color w:val="000000"/>
          <w:sz w:val="24"/>
          <w:lang w:val="pl-PL"/>
        </w:rPr>
        <w:t xml:space="preserve"> Art. 2 pkt 11m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w:t>
      </w:r>
      <w:r>
        <w:rPr>
          <w:rFonts w:ascii="Times New Roman"/>
          <w:b w:val="false"/>
          <w:i w:val="false"/>
          <w:color w:val="000000"/>
          <w:sz w:val="24"/>
          <w:lang w:val="pl-PL"/>
        </w:rPr>
        <w:t xml:space="preserve"> Art. 2 pkt 11n dodany przez </w:t>
      </w:r>
      <w:r>
        <w:rPr>
          <w:rFonts w:ascii="Times New Roman"/>
          <w:b w:val="false"/>
          <w:i w:val="false"/>
          <w:color w:val="1b1b1b"/>
          <w:sz w:val="24"/>
          <w:lang w:val="pl-PL"/>
        </w:rPr>
        <w:t>art. 1 pkt 4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w:t>
      </w:r>
      <w:r>
        <w:rPr>
          <w:rFonts w:ascii="Times New Roman"/>
          <w:b w:val="false"/>
          <w:i w:val="false"/>
          <w:color w:val="000000"/>
          <w:sz w:val="24"/>
          <w:lang w:val="pl-PL"/>
        </w:rPr>
        <w:t xml:space="preserve"> Art. 2 pkt 14 zmieniony przez </w:t>
      </w:r>
      <w:r>
        <w:rPr>
          <w:rFonts w:ascii="Times New Roman"/>
          <w:b w:val="false"/>
          <w:i w:val="false"/>
          <w:color w:val="1b1b1b"/>
          <w:sz w:val="24"/>
          <w:lang w:val="pl-PL"/>
        </w:rPr>
        <w:t>art. 1 pkt 4 lit. k</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w:t>
      </w:r>
      <w:r>
        <w:rPr>
          <w:rFonts w:ascii="Times New Roman"/>
          <w:b w:val="false"/>
          <w:i w:val="false"/>
          <w:color w:val="000000"/>
          <w:sz w:val="24"/>
          <w:lang w:val="pl-PL"/>
        </w:rPr>
        <w:t xml:space="preserve"> Art. 2 pkt 14a dodany przez </w:t>
      </w:r>
      <w:r>
        <w:rPr>
          <w:rFonts w:ascii="Times New Roman"/>
          <w:b w:val="false"/>
          <w:i w:val="false"/>
          <w:color w:val="1b1b1b"/>
          <w:sz w:val="24"/>
          <w:lang w:val="pl-PL"/>
        </w:rPr>
        <w:t>art. 1 pkt 4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w:t>
      </w:r>
      <w:r>
        <w:rPr>
          <w:rFonts w:ascii="Times New Roman"/>
          <w:b w:val="false"/>
          <w:i w:val="false"/>
          <w:color w:val="000000"/>
          <w:sz w:val="24"/>
          <w:lang w:val="pl-PL"/>
        </w:rPr>
        <w:t xml:space="preserve"> Art. 2 pkt 15 uchylony przez </w:t>
      </w:r>
      <w:r>
        <w:rPr>
          <w:rFonts w:ascii="Times New Roman"/>
          <w:b w:val="false"/>
          <w:i w:val="false"/>
          <w:color w:val="1b1b1b"/>
          <w:sz w:val="24"/>
          <w:lang w:val="pl-PL"/>
        </w:rPr>
        <w:t>art. 1 pkt 4 lit. m</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Art. 2 pkt 16 uchylony przez </w:t>
      </w:r>
      <w:r>
        <w:rPr>
          <w:rFonts w:ascii="Times New Roman"/>
          <w:b w:val="false"/>
          <w:i w:val="false"/>
          <w:color w:val="1b1b1b"/>
          <w:sz w:val="24"/>
          <w:lang w:val="pl-PL"/>
        </w:rPr>
        <w:t>art. 1 pkt 4 lit. m</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Art. 2 pkt 17 uchylony przez </w:t>
      </w:r>
      <w:r>
        <w:rPr>
          <w:rFonts w:ascii="Times New Roman"/>
          <w:b w:val="false"/>
          <w:i w:val="false"/>
          <w:color w:val="1b1b1b"/>
          <w:sz w:val="24"/>
          <w:lang w:val="pl-PL"/>
        </w:rPr>
        <w:t>art. 1 pkt 4 lit. m</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49</w:t>
      </w:r>
      <w:r>
        <w:rPr>
          <w:rFonts w:ascii="Times New Roman"/>
          <w:b w:val="false"/>
          <w:i w:val="false"/>
          <w:color w:val="000000"/>
          <w:sz w:val="24"/>
          <w:lang w:val="pl-PL"/>
        </w:rPr>
        <w:t xml:space="preserve"> Art. 2a dodany przez </w:t>
      </w:r>
      <w:r>
        <w:rPr>
          <w:rFonts w:ascii="Times New Roman"/>
          <w:b w:val="false"/>
          <w:i w:val="false"/>
          <w:color w:val="1b1b1b"/>
          <w:sz w:val="24"/>
          <w:lang w:val="pl-PL"/>
        </w:rPr>
        <w:t>art. 1 pkt 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50</w:t>
      </w:r>
      <w:r>
        <w:rPr>
          <w:rFonts w:ascii="Times New Roman"/>
          <w:b w:val="false"/>
          <w:i w:val="false"/>
          <w:color w:val="000000"/>
          <w:sz w:val="24"/>
          <w:lang w:val="pl-PL"/>
        </w:rPr>
        <w:t xml:space="preserve"> Art. 3 zmieniony przez </w:t>
      </w:r>
      <w:r>
        <w:rPr>
          <w:rFonts w:ascii="Times New Roman"/>
          <w:b w:val="false"/>
          <w:i w:val="false"/>
          <w:color w:val="1b1b1b"/>
          <w:sz w:val="24"/>
          <w:lang w:val="pl-PL"/>
        </w:rPr>
        <w:t>art. 1 pkt 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51</w:t>
      </w:r>
      <w:r>
        <w:rPr>
          <w:rFonts w:ascii="Times New Roman"/>
          <w:b w:val="false"/>
          <w:i w:val="false"/>
          <w:color w:val="000000"/>
          <w:sz w:val="24"/>
          <w:lang w:val="pl-PL"/>
        </w:rPr>
        <w:t xml:space="preserve"> Art. 3a dodany przez </w:t>
      </w:r>
      <w:r>
        <w:rPr>
          <w:rFonts w:ascii="Times New Roman"/>
          <w:b w:val="false"/>
          <w:i w:val="false"/>
          <w:color w:val="1b1b1b"/>
          <w:sz w:val="24"/>
          <w:lang w:val="pl-PL"/>
        </w:rPr>
        <w:t>art. 1 pkt 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52</w:t>
      </w:r>
      <w:r>
        <w:rPr>
          <w:rFonts w:ascii="Times New Roman"/>
          <w:b w:val="false"/>
          <w:i w:val="false"/>
          <w:color w:val="000000"/>
          <w:sz w:val="24"/>
          <w:lang w:val="pl-PL"/>
        </w:rPr>
        <w:t xml:space="preserve"> Art. 4 pkt 1 zmieniony przez </w:t>
      </w:r>
      <w:r>
        <w:rPr>
          <w:rFonts w:ascii="Times New Roman"/>
          <w:b w:val="false"/>
          <w:i w:val="false"/>
          <w:color w:val="1b1b1b"/>
          <w:sz w:val="24"/>
          <w:lang w:val="pl-PL"/>
        </w:rPr>
        <w:t>art. 1 pkt 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53</w:t>
      </w:r>
      <w:r>
        <w:rPr>
          <w:rFonts w:ascii="Times New Roman"/>
          <w:b w:val="false"/>
          <w:i w:val="false"/>
          <w:color w:val="000000"/>
          <w:sz w:val="24"/>
          <w:lang w:val="pl-PL"/>
        </w:rPr>
        <w:t xml:space="preserve"> Art. 4 pkt 2 zmieniony przez </w:t>
      </w:r>
      <w:r>
        <w:rPr>
          <w:rFonts w:ascii="Times New Roman"/>
          <w:b w:val="false"/>
          <w:i w:val="false"/>
          <w:color w:val="1b1b1b"/>
          <w:sz w:val="24"/>
          <w:lang w:val="pl-PL"/>
        </w:rPr>
        <w:t>art. 1 pkt 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54</w:t>
      </w:r>
      <w:r>
        <w:rPr>
          <w:rFonts w:ascii="Times New Roman"/>
          <w:b w:val="false"/>
          <w:i w:val="false"/>
          <w:color w:val="000000"/>
          <w:sz w:val="24"/>
          <w:lang w:val="pl-PL"/>
        </w:rPr>
        <w:t xml:space="preserve"> Art. 4 pkt 6 zmieniony przez </w:t>
      </w:r>
      <w:r>
        <w:rPr>
          <w:rFonts w:ascii="Times New Roman"/>
          <w:b w:val="false"/>
          <w:i w:val="false"/>
          <w:color w:val="1b1b1b"/>
          <w:sz w:val="24"/>
          <w:lang w:val="pl-PL"/>
        </w:rPr>
        <w:t>art. 1 pkt 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55</w:t>
      </w:r>
      <w:r>
        <w:rPr>
          <w:rFonts w:ascii="Times New Roman"/>
          <w:b w:val="false"/>
          <w:i w:val="false"/>
          <w:color w:val="000000"/>
          <w:sz w:val="24"/>
          <w:lang w:val="pl-PL"/>
        </w:rPr>
        <w:t xml:space="preserve"> Art. 4 pkt 7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56</w:t>
      </w:r>
      <w:r>
        <w:rPr>
          <w:rFonts w:ascii="Times New Roman"/>
          <w:b w:val="false"/>
          <w:i w:val="false"/>
          <w:color w:val="000000"/>
          <w:sz w:val="24"/>
          <w:lang w:val="pl-PL"/>
        </w:rPr>
        <w:t xml:space="preserve"> Art. 4 pkt 8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57</w:t>
      </w:r>
      <w:r>
        <w:rPr>
          <w:rFonts w:ascii="Times New Roman"/>
          <w:b w:val="false"/>
          <w:i w:val="false"/>
          <w:color w:val="000000"/>
          <w:sz w:val="24"/>
          <w:lang w:val="pl-PL"/>
        </w:rPr>
        <w:t xml:space="preserve"> Art. 4 pkt 9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58</w:t>
      </w:r>
      <w:r>
        <w:rPr>
          <w:rFonts w:ascii="Times New Roman"/>
          <w:b w:val="false"/>
          <w:i w:val="false"/>
          <w:color w:val="000000"/>
          <w:sz w:val="24"/>
          <w:lang w:val="pl-PL"/>
        </w:rPr>
        <w:t xml:space="preserve"> Art. 4 pkt 10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59</w:t>
      </w:r>
      <w:r>
        <w:rPr>
          <w:rFonts w:ascii="Times New Roman"/>
          <w:b w:val="false"/>
          <w:i w:val="false"/>
          <w:color w:val="000000"/>
          <w:sz w:val="24"/>
          <w:lang w:val="pl-PL"/>
        </w:rPr>
        <w:t xml:space="preserve"> Art. 4 pkt 11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60</w:t>
      </w:r>
      <w:r>
        <w:rPr>
          <w:rFonts w:ascii="Times New Roman"/>
          <w:b w:val="false"/>
          <w:i w:val="false"/>
          <w:color w:val="000000"/>
          <w:sz w:val="24"/>
          <w:lang w:val="pl-PL"/>
        </w:rPr>
        <w:t xml:space="preserve"> Art. 4 pkt 12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61</w:t>
      </w:r>
      <w:r>
        <w:rPr>
          <w:rFonts w:ascii="Times New Roman"/>
          <w:b w:val="false"/>
          <w:i w:val="false"/>
          <w:color w:val="000000"/>
          <w:sz w:val="24"/>
          <w:lang w:val="pl-PL"/>
        </w:rPr>
        <w:t xml:space="preserve"> Art. 4 pkt 13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62</w:t>
      </w:r>
      <w:r>
        <w:rPr>
          <w:rFonts w:ascii="Times New Roman"/>
          <w:b w:val="false"/>
          <w:i w:val="false"/>
          <w:color w:val="000000"/>
          <w:sz w:val="24"/>
          <w:lang w:val="pl-PL"/>
        </w:rPr>
        <w:t xml:space="preserve"> Art. 4 pkt 14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63</w:t>
      </w:r>
      <w:r>
        <w:rPr>
          <w:rFonts w:ascii="Times New Roman"/>
          <w:b w:val="false"/>
          <w:i w:val="false"/>
          <w:color w:val="000000"/>
          <w:sz w:val="24"/>
          <w:lang w:val="pl-PL"/>
        </w:rPr>
        <w:t xml:space="preserve"> Art. 4 pkt 15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64</w:t>
      </w:r>
      <w:r>
        <w:rPr>
          <w:rFonts w:ascii="Times New Roman"/>
          <w:b w:val="false"/>
          <w:i w:val="false"/>
          <w:color w:val="000000"/>
          <w:sz w:val="24"/>
          <w:lang w:val="pl-PL"/>
        </w:rPr>
        <w:t xml:space="preserve"> Art. 4 pkt 16 uchylony przez </w:t>
      </w:r>
      <w:r>
        <w:rPr>
          <w:rFonts w:ascii="Times New Roman"/>
          <w:b w:val="false"/>
          <w:i w:val="false"/>
          <w:color w:val="1b1b1b"/>
          <w:sz w:val="24"/>
          <w:lang w:val="pl-PL"/>
        </w:rPr>
        <w:t>art. 1 pkt 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65</w:t>
      </w:r>
      <w:r>
        <w:rPr>
          <w:rFonts w:ascii="Times New Roman"/>
          <w:b w:val="false"/>
          <w:i w:val="false"/>
          <w:color w:val="000000"/>
          <w:sz w:val="24"/>
          <w:lang w:val="pl-PL"/>
        </w:rPr>
        <w:t xml:space="preserve"> Art. 4 pkt 17a dodany przez </w:t>
      </w:r>
      <w:r>
        <w:rPr>
          <w:rFonts w:ascii="Times New Roman"/>
          <w:b w:val="false"/>
          <w:i w:val="false"/>
          <w:color w:val="1b1b1b"/>
          <w:sz w:val="24"/>
          <w:lang w:val="pl-PL"/>
        </w:rPr>
        <w:t>art. 1 pkt 8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66</w:t>
      </w:r>
      <w:r>
        <w:rPr>
          <w:rFonts w:ascii="Times New Roman"/>
          <w:b w:val="false"/>
          <w:i w:val="false"/>
          <w:color w:val="000000"/>
          <w:sz w:val="24"/>
          <w:lang w:val="pl-PL"/>
        </w:rPr>
        <w:t xml:space="preserve"> Rozdział 2 tytuł zmieniony przez </w:t>
      </w:r>
      <w:r>
        <w:rPr>
          <w:rFonts w:ascii="Times New Roman"/>
          <w:b w:val="false"/>
          <w:i w:val="false"/>
          <w:color w:val="1b1b1b"/>
          <w:sz w:val="24"/>
          <w:lang w:val="pl-PL"/>
        </w:rPr>
        <w:t>art. 1 pkt 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67</w:t>
      </w:r>
      <w:r>
        <w:rPr>
          <w:rFonts w:ascii="Times New Roman"/>
          <w:b w:val="false"/>
          <w:i w:val="false"/>
          <w:color w:val="000000"/>
          <w:sz w:val="24"/>
          <w:lang w:val="pl-PL"/>
        </w:rPr>
        <w:t xml:space="preserve"> Art. 5 zmieniony przez </w:t>
      </w:r>
      <w:r>
        <w:rPr>
          <w:rFonts w:ascii="Times New Roman"/>
          <w:b w:val="false"/>
          <w:i w:val="false"/>
          <w:color w:val="1b1b1b"/>
          <w:sz w:val="24"/>
          <w:lang w:val="pl-PL"/>
        </w:rPr>
        <w:t>art. 1 pkt 10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68</w:t>
      </w:r>
      <w:r>
        <w:rPr>
          <w:rFonts w:ascii="Times New Roman"/>
          <w:b w:val="false"/>
          <w:i w:val="false"/>
          <w:color w:val="000000"/>
          <w:sz w:val="24"/>
          <w:lang w:val="pl-PL"/>
        </w:rPr>
        <w:t xml:space="preserve"> Art. 5a dodany przez </w:t>
      </w:r>
      <w:r>
        <w:rPr>
          <w:rFonts w:ascii="Times New Roman"/>
          <w:b w:val="false"/>
          <w:i w:val="false"/>
          <w:color w:val="1b1b1b"/>
          <w:sz w:val="24"/>
          <w:lang w:val="pl-PL"/>
        </w:rPr>
        <w:t>art. 1 pkt 11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69</w:t>
      </w:r>
      <w:r>
        <w:rPr>
          <w:rFonts w:ascii="Times New Roman"/>
          <w:b w:val="false"/>
          <w:i w:val="false"/>
          <w:color w:val="000000"/>
          <w:sz w:val="24"/>
          <w:lang w:val="pl-PL"/>
        </w:rPr>
        <w:t xml:space="preserve"> Art. 6 uchylony przez </w:t>
      </w:r>
      <w:r>
        <w:rPr>
          <w:rFonts w:ascii="Times New Roman"/>
          <w:b w:val="false"/>
          <w:i w:val="false"/>
          <w:color w:val="1b1b1b"/>
          <w:sz w:val="24"/>
          <w:lang w:val="pl-PL"/>
        </w:rPr>
        <w:t>art. 1 pkt 12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70</w:t>
      </w:r>
      <w:r>
        <w:rPr>
          <w:rFonts w:ascii="Times New Roman"/>
          <w:b w:val="false"/>
          <w:i w:val="false"/>
          <w:color w:val="000000"/>
          <w:sz w:val="24"/>
          <w:lang w:val="pl-PL"/>
        </w:rPr>
        <w:t xml:space="preserve"> Art. 7 zmieniony przez </w:t>
      </w:r>
      <w:r>
        <w:rPr>
          <w:rFonts w:ascii="Times New Roman"/>
          <w:b w:val="false"/>
          <w:i w:val="false"/>
          <w:color w:val="1b1b1b"/>
          <w:sz w:val="24"/>
          <w:lang w:val="pl-PL"/>
        </w:rPr>
        <w:t>art. 1 pkt 13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71</w:t>
      </w:r>
      <w:r>
        <w:rPr>
          <w:rFonts w:ascii="Times New Roman"/>
          <w:b w:val="false"/>
          <w:i w:val="false"/>
          <w:color w:val="000000"/>
          <w:sz w:val="24"/>
          <w:lang w:val="pl-PL"/>
        </w:rPr>
        <w:t xml:space="preserve"> Art. 7a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72</w:t>
      </w:r>
      <w:r>
        <w:rPr>
          <w:rFonts w:ascii="Times New Roman"/>
          <w:b w:val="false"/>
          <w:i w:val="false"/>
          <w:color w:val="000000"/>
          <w:sz w:val="24"/>
          <w:lang w:val="pl-PL"/>
        </w:rPr>
        <w:t xml:space="preserve"> Art. 7b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73</w:t>
      </w:r>
      <w:r>
        <w:rPr>
          <w:rFonts w:ascii="Times New Roman"/>
          <w:b w:val="false"/>
          <w:i w:val="false"/>
          <w:color w:val="000000"/>
          <w:sz w:val="24"/>
          <w:lang w:val="pl-PL"/>
        </w:rPr>
        <w:t xml:space="preserve"> Art. 7c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74</w:t>
      </w:r>
      <w:r>
        <w:rPr>
          <w:rFonts w:ascii="Times New Roman"/>
          <w:b w:val="false"/>
          <w:i w:val="false"/>
          <w:color w:val="000000"/>
          <w:sz w:val="24"/>
          <w:lang w:val="pl-PL"/>
        </w:rPr>
        <w:t xml:space="preserve"> Art. 7d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75</w:t>
      </w:r>
      <w:r>
        <w:rPr>
          <w:rFonts w:ascii="Times New Roman"/>
          <w:b w:val="false"/>
          <w:i w:val="false"/>
          <w:color w:val="000000"/>
          <w:sz w:val="24"/>
          <w:lang w:val="pl-PL"/>
        </w:rPr>
        <w:t xml:space="preserve"> Art. 7e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76</w:t>
      </w:r>
      <w:r>
        <w:rPr>
          <w:rFonts w:ascii="Times New Roman"/>
          <w:b w:val="false"/>
          <w:i w:val="false"/>
          <w:color w:val="000000"/>
          <w:sz w:val="24"/>
          <w:lang w:val="pl-PL"/>
        </w:rPr>
        <w:t xml:space="preserve"> Art. 7f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77</w:t>
      </w:r>
      <w:r>
        <w:rPr>
          <w:rFonts w:ascii="Times New Roman"/>
          <w:b w:val="false"/>
          <w:i w:val="false"/>
          <w:color w:val="000000"/>
          <w:sz w:val="24"/>
          <w:lang w:val="pl-PL"/>
        </w:rPr>
        <w:t xml:space="preserve"> Art. 7g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78</w:t>
      </w:r>
      <w:r>
        <w:rPr>
          <w:rFonts w:ascii="Times New Roman"/>
          <w:b w:val="false"/>
          <w:i w:val="false"/>
          <w:color w:val="000000"/>
          <w:sz w:val="24"/>
          <w:lang w:val="pl-PL"/>
        </w:rPr>
        <w:t xml:space="preserve"> Art. 7h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79</w:t>
      </w:r>
      <w:r>
        <w:rPr>
          <w:rFonts w:ascii="Times New Roman"/>
          <w:b w:val="false"/>
          <w:i w:val="false"/>
          <w:color w:val="000000"/>
          <w:sz w:val="24"/>
          <w:lang w:val="pl-PL"/>
        </w:rPr>
        <w:t xml:space="preserve"> Art. 7i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80</w:t>
      </w:r>
      <w:r>
        <w:rPr>
          <w:rFonts w:ascii="Times New Roman"/>
          <w:b w:val="false"/>
          <w:i w:val="false"/>
          <w:color w:val="000000"/>
          <w:sz w:val="24"/>
          <w:lang w:val="pl-PL"/>
        </w:rPr>
        <w:t xml:space="preserve"> Art. 7j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81</w:t>
      </w:r>
      <w:r>
        <w:rPr>
          <w:rFonts w:ascii="Times New Roman"/>
          <w:b w:val="false"/>
          <w:i w:val="false"/>
          <w:color w:val="000000"/>
          <w:sz w:val="24"/>
          <w:lang w:val="pl-PL"/>
        </w:rPr>
        <w:t xml:space="preserve"> Art. 7k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Art. 7l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83</w:t>
      </w:r>
      <w:r>
        <w:rPr>
          <w:rFonts w:ascii="Times New Roman"/>
          <w:b w:val="false"/>
          <w:i w:val="false"/>
          <w:color w:val="000000"/>
          <w:sz w:val="24"/>
          <w:lang w:val="pl-PL"/>
        </w:rPr>
        <w:t xml:space="preserve"> Art. 7m dodany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84</w:t>
      </w:r>
      <w:r>
        <w:rPr>
          <w:rFonts w:ascii="Times New Roman"/>
          <w:b w:val="false"/>
          <w:i w:val="false"/>
          <w:color w:val="000000"/>
          <w:sz w:val="24"/>
          <w:lang w:val="pl-PL"/>
        </w:rPr>
        <w:t xml:space="preserve"> Rozdział 3 tytuł zmieniony przez </w:t>
      </w:r>
      <w:r>
        <w:rPr>
          <w:rFonts w:ascii="Times New Roman"/>
          <w:b w:val="false"/>
          <w:i w:val="false"/>
          <w:color w:val="1b1b1b"/>
          <w:sz w:val="24"/>
          <w:lang w:val="pl-PL"/>
        </w:rPr>
        <w:t>art. 1 pkt 15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85</w:t>
      </w:r>
      <w:r>
        <w:rPr>
          <w:rFonts w:ascii="Times New Roman"/>
          <w:b w:val="false"/>
          <w:i w:val="false"/>
          <w:color w:val="000000"/>
          <w:sz w:val="24"/>
          <w:lang w:val="pl-PL"/>
        </w:rPr>
        <w:t xml:space="preserve"> Art. 8 zmieniony przez </w:t>
      </w:r>
      <w:r>
        <w:rPr>
          <w:rFonts w:ascii="Times New Roman"/>
          <w:b w:val="false"/>
          <w:i w:val="false"/>
          <w:color w:val="1b1b1b"/>
          <w:sz w:val="24"/>
          <w:lang w:val="pl-PL"/>
        </w:rPr>
        <w:t>art. 1 pkt 16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86</w:t>
      </w:r>
      <w:r>
        <w:rPr>
          <w:rFonts w:ascii="Times New Roman"/>
          <w:b w:val="false"/>
          <w:i w:val="false"/>
          <w:color w:val="000000"/>
          <w:sz w:val="24"/>
          <w:lang w:val="pl-PL"/>
        </w:rPr>
        <w:t xml:space="preserve"> Art. 8a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87</w:t>
      </w:r>
      <w:r>
        <w:rPr>
          <w:rFonts w:ascii="Times New Roman"/>
          <w:b w:val="false"/>
          <w:i w:val="false"/>
          <w:color w:val="000000"/>
          <w:sz w:val="24"/>
          <w:lang w:val="pl-PL"/>
        </w:rPr>
        <w:t xml:space="preserve"> Art. 8b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88</w:t>
      </w:r>
      <w:r>
        <w:rPr>
          <w:rFonts w:ascii="Times New Roman"/>
          <w:b w:val="false"/>
          <w:i w:val="false"/>
          <w:color w:val="000000"/>
          <w:sz w:val="24"/>
          <w:lang w:val="pl-PL"/>
        </w:rPr>
        <w:t xml:space="preserve"> Art. 8c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89</w:t>
      </w:r>
      <w:r>
        <w:rPr>
          <w:rFonts w:ascii="Times New Roman"/>
          <w:b w:val="false"/>
          <w:i w:val="false"/>
          <w:color w:val="000000"/>
          <w:sz w:val="24"/>
          <w:lang w:val="pl-PL"/>
        </w:rPr>
        <w:t xml:space="preserve"> Art. 8d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90</w:t>
      </w:r>
      <w:r>
        <w:rPr>
          <w:rFonts w:ascii="Times New Roman"/>
          <w:b w:val="false"/>
          <w:i w:val="false"/>
          <w:color w:val="000000"/>
          <w:sz w:val="24"/>
          <w:lang w:val="pl-PL"/>
        </w:rPr>
        <w:t xml:space="preserve"> Art. 8e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91</w:t>
      </w:r>
      <w:r>
        <w:rPr>
          <w:rFonts w:ascii="Times New Roman"/>
          <w:b w:val="false"/>
          <w:i w:val="false"/>
          <w:color w:val="000000"/>
          <w:sz w:val="24"/>
          <w:lang w:val="pl-PL"/>
        </w:rPr>
        <w:t xml:space="preserve"> Art. 8f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92</w:t>
      </w:r>
      <w:r>
        <w:rPr>
          <w:rFonts w:ascii="Times New Roman"/>
          <w:b w:val="false"/>
          <w:i w:val="false"/>
          <w:color w:val="000000"/>
          <w:sz w:val="24"/>
          <w:lang w:val="pl-PL"/>
        </w:rPr>
        <w:t xml:space="preserve"> Art. 8g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93</w:t>
      </w:r>
      <w:r>
        <w:rPr>
          <w:rFonts w:ascii="Times New Roman"/>
          <w:b w:val="false"/>
          <w:i w:val="false"/>
          <w:color w:val="000000"/>
          <w:sz w:val="24"/>
          <w:lang w:val="pl-PL"/>
        </w:rPr>
        <w:t xml:space="preserve"> Art. 8h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94</w:t>
      </w:r>
      <w:r>
        <w:rPr>
          <w:rFonts w:ascii="Times New Roman"/>
          <w:b w:val="false"/>
          <w:i w:val="false"/>
          <w:color w:val="000000"/>
          <w:sz w:val="24"/>
          <w:lang w:val="pl-PL"/>
        </w:rPr>
        <w:t xml:space="preserve"> Art. 8i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95</w:t>
      </w:r>
      <w:r>
        <w:rPr>
          <w:rFonts w:ascii="Times New Roman"/>
          <w:b w:val="false"/>
          <w:i w:val="false"/>
          <w:color w:val="000000"/>
          <w:sz w:val="24"/>
          <w:lang w:val="pl-PL"/>
        </w:rPr>
        <w:t xml:space="preserve"> Art. 8j dodany przez </w:t>
      </w:r>
      <w:r>
        <w:rPr>
          <w:rFonts w:ascii="Times New Roman"/>
          <w:b w:val="false"/>
          <w:i w:val="false"/>
          <w:color w:val="1b1b1b"/>
          <w:sz w:val="24"/>
          <w:lang w:val="pl-PL"/>
        </w:rPr>
        <w:t>art. 1 pkt 17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96</w:t>
      </w:r>
      <w:r>
        <w:rPr>
          <w:rFonts w:ascii="Times New Roman"/>
          <w:b w:val="false"/>
          <w:i w:val="false"/>
          <w:color w:val="000000"/>
          <w:sz w:val="24"/>
          <w:lang w:val="pl-PL"/>
        </w:rPr>
        <w:t xml:space="preserve"> Art. 9 zmieniony przez </w:t>
      </w:r>
      <w:r>
        <w:rPr>
          <w:rFonts w:ascii="Times New Roman"/>
          <w:b w:val="false"/>
          <w:i w:val="false"/>
          <w:color w:val="1b1b1b"/>
          <w:sz w:val="24"/>
          <w:lang w:val="pl-PL"/>
        </w:rPr>
        <w:t>art. 1 pkt 18</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97</w:t>
      </w:r>
      <w:r>
        <w:rPr>
          <w:rFonts w:ascii="Times New Roman"/>
          <w:b w:val="false"/>
          <w:i w:val="false"/>
          <w:color w:val="000000"/>
          <w:sz w:val="24"/>
          <w:lang w:val="pl-PL"/>
        </w:rPr>
        <w:t xml:space="preserve"> Art. 10 zmieniony przez </w:t>
      </w:r>
      <w:r>
        <w:rPr>
          <w:rFonts w:ascii="Times New Roman"/>
          <w:b w:val="false"/>
          <w:i w:val="false"/>
          <w:color w:val="1b1b1b"/>
          <w:sz w:val="24"/>
          <w:lang w:val="pl-PL"/>
        </w:rPr>
        <w:t>art. 1 pkt 18</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98</w:t>
      </w:r>
      <w:r>
        <w:rPr>
          <w:rFonts w:ascii="Times New Roman"/>
          <w:b w:val="false"/>
          <w:i w:val="false"/>
          <w:color w:val="000000"/>
          <w:sz w:val="24"/>
          <w:lang w:val="pl-PL"/>
        </w:rPr>
        <w:t xml:space="preserve"> Art. 11 ust. 1 zdanie wstępne zmienione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99</w:t>
      </w:r>
      <w:r>
        <w:rPr>
          <w:rFonts w:ascii="Times New Roman"/>
          <w:b w:val="false"/>
          <w:i w:val="false"/>
          <w:color w:val="000000"/>
          <w:sz w:val="24"/>
          <w:lang w:val="pl-PL"/>
        </w:rPr>
        <w:t xml:space="preserve"> Art. 11 ust. 1 pkt 2 zmieniony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100</w:t>
      </w:r>
      <w:r>
        <w:rPr>
          <w:rFonts w:ascii="Times New Roman"/>
          <w:b w:val="false"/>
          <w:i w:val="false"/>
          <w:color w:val="000000"/>
          <w:sz w:val="24"/>
          <w:lang w:val="pl-PL"/>
        </w:rPr>
        <w:t xml:space="preserve"> Art. 11 ust. 1 pkt 4 zmieniony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101</w:t>
      </w:r>
      <w:r>
        <w:rPr>
          <w:rFonts w:ascii="Times New Roman"/>
          <w:b w:val="false"/>
          <w:i w:val="false"/>
          <w:color w:val="000000"/>
          <w:sz w:val="24"/>
          <w:lang w:val="pl-PL"/>
        </w:rPr>
        <w:t xml:space="preserve"> Art. 11 ust. 1 pkt 4a dodany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102</w:t>
      </w:r>
      <w:r>
        <w:rPr>
          <w:rFonts w:ascii="Times New Roman"/>
          <w:b w:val="false"/>
          <w:i w:val="false"/>
          <w:color w:val="000000"/>
          <w:sz w:val="24"/>
          <w:lang w:val="pl-PL"/>
        </w:rPr>
        <w:t xml:space="preserve"> Art. 11 ust. 1 pkt 4b dodany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103</w:t>
      </w:r>
      <w:r>
        <w:rPr>
          <w:rFonts w:ascii="Times New Roman"/>
          <w:b w:val="false"/>
          <w:i w:val="false"/>
          <w:color w:val="000000"/>
          <w:sz w:val="24"/>
          <w:lang w:val="pl-PL"/>
        </w:rPr>
        <w:t xml:space="preserve"> Art. 11 ust. 1 pkt 4c dodany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104</w:t>
      </w:r>
      <w:r>
        <w:rPr>
          <w:rFonts w:ascii="Times New Roman"/>
          <w:b w:val="false"/>
          <w:i w:val="false"/>
          <w:color w:val="000000"/>
          <w:sz w:val="24"/>
          <w:lang w:val="pl-PL"/>
        </w:rPr>
        <w:t xml:space="preserve"> Art. 11 ust. 1 pkt 5 zmieniony przez </w:t>
      </w:r>
      <w:r>
        <w:rPr>
          <w:rFonts w:ascii="Times New Roman"/>
          <w:b w:val="false"/>
          <w:i w:val="false"/>
          <w:color w:val="1b1b1b"/>
          <w:sz w:val="24"/>
          <w:lang w:val="pl-PL"/>
        </w:rPr>
        <w:t>art. 1 pkt 19 lit. a</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105</w:t>
      </w:r>
      <w:r>
        <w:rPr>
          <w:rFonts w:ascii="Times New Roman"/>
          <w:b w:val="false"/>
          <w:i w:val="false"/>
          <w:color w:val="000000"/>
          <w:sz w:val="24"/>
          <w:lang w:val="pl-PL"/>
        </w:rPr>
        <w:t xml:space="preserve"> Art. 11 ust. 1a dodany przez </w:t>
      </w:r>
      <w:r>
        <w:rPr>
          <w:rFonts w:ascii="Times New Roman"/>
          <w:b w:val="false"/>
          <w:i w:val="false"/>
          <w:color w:val="1b1b1b"/>
          <w:sz w:val="24"/>
          <w:lang w:val="pl-PL"/>
        </w:rPr>
        <w:t>art. 1 pkt 19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Art. 11 ust. 2 zmieniony przez </w:t>
      </w:r>
      <w:r>
        <w:rPr>
          <w:rFonts w:ascii="Times New Roman"/>
          <w:b w:val="false"/>
          <w:i w:val="false"/>
          <w:color w:val="1b1b1b"/>
          <w:sz w:val="24"/>
          <w:lang w:val="pl-PL"/>
        </w:rPr>
        <w:t>art. 1 pkt 19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107</w:t>
      </w:r>
      <w:r>
        <w:rPr>
          <w:rFonts w:ascii="Times New Roman"/>
          <w:b w:val="false"/>
          <w:i w:val="false"/>
          <w:color w:val="000000"/>
          <w:sz w:val="24"/>
          <w:lang w:val="pl-PL"/>
        </w:rPr>
        <w:t xml:space="preserve"> Art. 11 ust. 2a dodany przez </w:t>
      </w:r>
      <w:r>
        <w:rPr>
          <w:rFonts w:ascii="Times New Roman"/>
          <w:b w:val="false"/>
          <w:i w:val="false"/>
          <w:color w:val="1b1b1b"/>
          <w:sz w:val="24"/>
          <w:lang w:val="pl-PL"/>
        </w:rPr>
        <w:t>art. 1 pkt 19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108</w:t>
      </w:r>
      <w:r>
        <w:rPr>
          <w:rFonts w:ascii="Times New Roman"/>
          <w:b w:val="false"/>
          <w:i w:val="false"/>
          <w:color w:val="000000"/>
          <w:sz w:val="24"/>
          <w:lang w:val="pl-PL"/>
        </w:rPr>
        <w:t xml:space="preserve"> Art. 11 ust. 2b dodany przez </w:t>
      </w:r>
      <w:r>
        <w:rPr>
          <w:rFonts w:ascii="Times New Roman"/>
          <w:b w:val="false"/>
          <w:i w:val="false"/>
          <w:color w:val="1b1b1b"/>
          <w:sz w:val="24"/>
          <w:lang w:val="pl-PL"/>
        </w:rPr>
        <w:t>art. 1 pkt 19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109</w:t>
      </w:r>
      <w:r>
        <w:rPr>
          <w:rFonts w:ascii="Times New Roman"/>
          <w:b w:val="false"/>
          <w:i w:val="false"/>
          <w:color w:val="000000"/>
          <w:sz w:val="24"/>
          <w:lang w:val="pl-PL"/>
        </w:rPr>
        <w:t xml:space="preserve"> Art. 11 ust. 3 uchylony przez </w:t>
      </w:r>
      <w:r>
        <w:rPr>
          <w:rFonts w:ascii="Times New Roman"/>
          <w:b w:val="false"/>
          <w:i w:val="false"/>
          <w:color w:val="1b1b1b"/>
          <w:sz w:val="24"/>
          <w:lang w:val="pl-PL"/>
        </w:rPr>
        <w:t>art. 1 pkt 19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110</w:t>
      </w:r>
      <w:r>
        <w:rPr>
          <w:rFonts w:ascii="Times New Roman"/>
          <w:b w:val="false"/>
          <w:i w:val="false"/>
          <w:color w:val="000000"/>
          <w:sz w:val="24"/>
          <w:lang w:val="pl-PL"/>
        </w:rPr>
        <w:t xml:space="preserve"> Art. 11 ust. 4 zmieniony przez </w:t>
      </w:r>
      <w:r>
        <w:rPr>
          <w:rFonts w:ascii="Times New Roman"/>
          <w:b w:val="false"/>
          <w:i w:val="false"/>
          <w:color w:val="1b1b1b"/>
          <w:sz w:val="24"/>
          <w:lang w:val="pl-PL"/>
        </w:rPr>
        <w:t>art. 1 pkt 19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111</w:t>
      </w:r>
      <w:r>
        <w:rPr>
          <w:rFonts w:ascii="Times New Roman"/>
          <w:b w:val="false"/>
          <w:i w:val="false"/>
          <w:color w:val="000000"/>
          <w:sz w:val="24"/>
          <w:lang w:val="pl-PL"/>
        </w:rPr>
        <w:t xml:space="preserve"> Art. 12 zmieniony przez </w:t>
      </w:r>
      <w:r>
        <w:rPr>
          <w:rFonts w:ascii="Times New Roman"/>
          <w:b w:val="false"/>
          <w:i w:val="false"/>
          <w:color w:val="1b1b1b"/>
          <w:sz w:val="24"/>
          <w:lang w:val="pl-PL"/>
        </w:rPr>
        <w:t>art. 1 pkt 20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112</w:t>
      </w:r>
      <w:r>
        <w:rPr>
          <w:rFonts w:ascii="Times New Roman"/>
          <w:b w:val="false"/>
          <w:i w:val="false"/>
          <w:color w:val="000000"/>
          <w:sz w:val="24"/>
          <w:lang w:val="pl-PL"/>
        </w:rPr>
        <w:t xml:space="preserve"> Art. 12a dodany przez </w:t>
      </w:r>
      <w:r>
        <w:rPr>
          <w:rFonts w:ascii="Times New Roman"/>
          <w:b w:val="false"/>
          <w:i w:val="false"/>
          <w:color w:val="1b1b1b"/>
          <w:sz w:val="24"/>
          <w:lang w:val="pl-PL"/>
        </w:rPr>
        <w:t>art. 1 pkt 21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113</w:t>
      </w:r>
      <w:r>
        <w:rPr>
          <w:rFonts w:ascii="Times New Roman"/>
          <w:b w:val="false"/>
          <w:i w:val="false"/>
          <w:color w:val="000000"/>
          <w:sz w:val="24"/>
          <w:lang w:val="pl-PL"/>
        </w:rPr>
        <w:t xml:space="preserve"> Art. 12b dodany przez </w:t>
      </w:r>
      <w:r>
        <w:rPr>
          <w:rFonts w:ascii="Times New Roman"/>
          <w:b w:val="false"/>
          <w:i w:val="false"/>
          <w:color w:val="1b1b1b"/>
          <w:sz w:val="24"/>
          <w:lang w:val="pl-PL"/>
        </w:rPr>
        <w:t>art. 1 pkt 21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114</w:t>
      </w:r>
      <w:r>
        <w:rPr>
          <w:rFonts w:ascii="Times New Roman"/>
          <w:b w:val="false"/>
          <w:i w:val="false"/>
          <w:color w:val="000000"/>
          <w:sz w:val="24"/>
          <w:lang w:val="pl-PL"/>
        </w:rPr>
        <w:t xml:space="preserve"> Art. 12c dodany przez </w:t>
      </w:r>
      <w:r>
        <w:rPr>
          <w:rFonts w:ascii="Times New Roman"/>
          <w:b w:val="false"/>
          <w:i w:val="false"/>
          <w:color w:val="1b1b1b"/>
          <w:sz w:val="24"/>
          <w:lang w:val="pl-PL"/>
        </w:rPr>
        <w:t>art. 1 pkt 21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115</w:t>
      </w:r>
      <w:r>
        <w:rPr>
          <w:rFonts w:ascii="Times New Roman"/>
          <w:b w:val="false"/>
          <w:i w:val="false"/>
          <w:color w:val="000000"/>
          <w:sz w:val="24"/>
          <w:lang w:val="pl-PL"/>
        </w:rPr>
        <w:t xml:space="preserve"> Art. 13 zmieniony przez </w:t>
      </w:r>
      <w:r>
        <w:rPr>
          <w:rFonts w:ascii="Times New Roman"/>
          <w:b w:val="false"/>
          <w:i w:val="false"/>
          <w:color w:val="1b1b1b"/>
          <w:sz w:val="24"/>
          <w:lang w:val="pl-PL"/>
        </w:rPr>
        <w:t>art. 1 pkt 22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116</w:t>
      </w:r>
      <w:r>
        <w:rPr>
          <w:rFonts w:ascii="Times New Roman"/>
          <w:b w:val="false"/>
          <w:i w:val="false"/>
          <w:color w:val="000000"/>
          <w:sz w:val="24"/>
          <w:lang w:val="pl-PL"/>
        </w:rPr>
        <w:t xml:space="preserve"> Art. 14 zmieniony przez </w:t>
      </w:r>
      <w:r>
        <w:rPr>
          <w:rFonts w:ascii="Times New Roman"/>
          <w:b w:val="false"/>
          <w:i w:val="false"/>
          <w:color w:val="1b1b1b"/>
          <w:sz w:val="24"/>
          <w:lang w:val="pl-PL"/>
        </w:rPr>
        <w:t>art. 1 pkt 22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Art. 15 ust. 1 zmieniony przez </w:t>
      </w:r>
      <w:r>
        <w:rPr>
          <w:rFonts w:ascii="Times New Roman"/>
          <w:b w:val="false"/>
          <w:i w:val="false"/>
          <w:color w:val="1b1b1b"/>
          <w:sz w:val="24"/>
          <w:lang w:val="pl-PL"/>
        </w:rPr>
        <w:t>art. 1 pkt 23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118</w:t>
      </w:r>
      <w:r>
        <w:rPr>
          <w:rFonts w:ascii="Times New Roman"/>
          <w:b w:val="false"/>
          <w:i w:val="false"/>
          <w:color w:val="000000"/>
          <w:sz w:val="24"/>
          <w:lang w:val="pl-PL"/>
        </w:rPr>
        <w:t xml:space="preserve"> Art. 15 ust. 1a dodany przez </w:t>
      </w:r>
      <w:r>
        <w:rPr>
          <w:rFonts w:ascii="Times New Roman"/>
          <w:b w:val="false"/>
          <w:i w:val="false"/>
          <w:color w:val="1b1b1b"/>
          <w:sz w:val="24"/>
          <w:lang w:val="pl-PL"/>
        </w:rPr>
        <w:t>art. 1 pkt 23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119</w:t>
      </w:r>
      <w:r>
        <w:rPr>
          <w:rFonts w:ascii="Times New Roman"/>
          <w:b w:val="false"/>
          <w:i w:val="false"/>
          <w:color w:val="000000"/>
          <w:sz w:val="24"/>
          <w:lang w:val="pl-PL"/>
        </w:rPr>
        <w:t xml:space="preserve"> Art. 15 ust. 1b dodany przez </w:t>
      </w:r>
      <w:r>
        <w:rPr>
          <w:rFonts w:ascii="Times New Roman"/>
          <w:b w:val="false"/>
          <w:i w:val="false"/>
          <w:color w:val="1b1b1b"/>
          <w:sz w:val="24"/>
          <w:lang w:val="pl-PL"/>
        </w:rPr>
        <w:t>art. 1 pkt 23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120</w:t>
      </w:r>
      <w:r>
        <w:rPr>
          <w:rFonts w:ascii="Times New Roman"/>
          <w:b w:val="false"/>
          <w:i w:val="false"/>
          <w:color w:val="000000"/>
          <w:sz w:val="24"/>
          <w:lang w:val="pl-PL"/>
        </w:rPr>
        <w:t xml:space="preserve"> Art. 15 ust. 1c dodany przez </w:t>
      </w:r>
      <w:r>
        <w:rPr>
          <w:rFonts w:ascii="Times New Roman"/>
          <w:b w:val="false"/>
          <w:i w:val="false"/>
          <w:color w:val="1b1b1b"/>
          <w:sz w:val="24"/>
          <w:lang w:val="pl-PL"/>
        </w:rPr>
        <w:t>art. 1 pkt 23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121</w:t>
      </w:r>
      <w:r>
        <w:rPr>
          <w:rFonts w:ascii="Times New Roman"/>
          <w:b w:val="false"/>
          <w:i w:val="false"/>
          <w:color w:val="000000"/>
          <w:sz w:val="24"/>
          <w:lang w:val="pl-PL"/>
        </w:rPr>
        <w:t xml:space="preserve"> Art. 15 ust. 2 pkt 3 zmieniony przez </w:t>
      </w:r>
      <w:r>
        <w:rPr>
          <w:rFonts w:ascii="Times New Roman"/>
          <w:b w:val="false"/>
          <w:i w:val="false"/>
          <w:color w:val="1b1b1b"/>
          <w:sz w:val="24"/>
          <w:lang w:val="pl-PL"/>
        </w:rPr>
        <w:t>art. 1 pkt 23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122</w:t>
      </w:r>
      <w:r>
        <w:rPr>
          <w:rFonts w:ascii="Times New Roman"/>
          <w:b w:val="false"/>
          <w:i w:val="false"/>
          <w:color w:val="000000"/>
          <w:sz w:val="24"/>
          <w:lang w:val="pl-PL"/>
        </w:rPr>
        <w:t xml:space="preserve"> Art. 15 ust. 2a dodany przez </w:t>
      </w:r>
      <w:r>
        <w:rPr>
          <w:rFonts w:ascii="Times New Roman"/>
          <w:b w:val="false"/>
          <w:i w:val="false"/>
          <w:color w:val="1b1b1b"/>
          <w:sz w:val="24"/>
          <w:lang w:val="pl-PL"/>
        </w:rPr>
        <w:t>art. 1 pkt 23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123</w:t>
      </w:r>
      <w:r>
        <w:rPr>
          <w:rFonts w:ascii="Times New Roman"/>
          <w:b w:val="false"/>
          <w:i w:val="false"/>
          <w:color w:val="000000"/>
          <w:sz w:val="24"/>
          <w:lang w:val="pl-PL"/>
        </w:rPr>
        <w:t xml:space="preserve"> Art. 15 ust. 3 pkt 3 uchylony przez </w:t>
      </w:r>
      <w:r>
        <w:rPr>
          <w:rFonts w:ascii="Times New Roman"/>
          <w:b w:val="false"/>
          <w:i w:val="false"/>
          <w:color w:val="1b1b1b"/>
          <w:sz w:val="24"/>
          <w:lang w:val="pl-PL"/>
        </w:rPr>
        <w:t>art. 1 pkt 23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124</w:t>
      </w:r>
      <w:r>
        <w:rPr>
          <w:rFonts w:ascii="Times New Roman"/>
          <w:b w:val="false"/>
          <w:i w:val="false"/>
          <w:color w:val="000000"/>
          <w:sz w:val="24"/>
          <w:lang w:val="pl-PL"/>
        </w:rPr>
        <w:t xml:space="preserve"> Art. 15 ust. 5 zmieniony przez </w:t>
      </w:r>
      <w:r>
        <w:rPr>
          <w:rFonts w:ascii="Times New Roman"/>
          <w:b w:val="false"/>
          <w:i w:val="false"/>
          <w:color w:val="1b1b1b"/>
          <w:sz w:val="24"/>
          <w:lang w:val="pl-PL"/>
        </w:rPr>
        <w:t>art. 1 pkt 23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Art. 15 ust. 6 uchylony przez </w:t>
      </w:r>
      <w:r>
        <w:rPr>
          <w:rFonts w:ascii="Times New Roman"/>
          <w:b w:val="false"/>
          <w:i w:val="false"/>
          <w:color w:val="1b1b1b"/>
          <w:sz w:val="24"/>
          <w:lang w:val="pl-PL"/>
        </w:rPr>
        <w:t>art. 1 pkt 23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126</w:t>
      </w:r>
      <w:r>
        <w:rPr>
          <w:rFonts w:ascii="Times New Roman"/>
          <w:b w:val="false"/>
          <w:i w:val="false"/>
          <w:color w:val="000000"/>
          <w:sz w:val="24"/>
          <w:lang w:val="pl-PL"/>
        </w:rPr>
        <w:t xml:space="preserve"> Art. 15 ust. 7 zdanie wstępne zmienione przez </w:t>
      </w:r>
      <w:r>
        <w:rPr>
          <w:rFonts w:ascii="Times New Roman"/>
          <w:b w:val="false"/>
          <w:i w:val="false"/>
          <w:color w:val="1b1b1b"/>
          <w:sz w:val="24"/>
          <w:lang w:val="pl-PL"/>
        </w:rPr>
        <w:t>art. 1 pkt 23 lit. h</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Art. 15 ust. 7 pkt 1 uchylony przez </w:t>
      </w:r>
      <w:r>
        <w:rPr>
          <w:rFonts w:ascii="Times New Roman"/>
          <w:b w:val="false"/>
          <w:i w:val="false"/>
          <w:color w:val="1b1b1b"/>
          <w:sz w:val="24"/>
          <w:lang w:val="pl-PL"/>
        </w:rPr>
        <w:t>art. 1 pkt 23 lit. h</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128</w:t>
      </w:r>
      <w:r>
        <w:rPr>
          <w:rFonts w:ascii="Times New Roman"/>
          <w:b w:val="false"/>
          <w:i w:val="false"/>
          <w:color w:val="000000"/>
          <w:sz w:val="24"/>
          <w:lang w:val="pl-PL"/>
        </w:rPr>
        <w:t xml:space="preserve"> Art. 15 ust. 7 pkt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1 pkt 23 lit. h</w:t>
      </w:r>
      <w:r>
        <w:rPr>
          <w:rFonts w:ascii="Times New Roman"/>
          <w:b w:val="false"/>
          <w:i w:val="false"/>
          <w:color w:val="000000"/>
          <w:sz w:val="24"/>
          <w:lang w:val="pl-PL"/>
        </w:rPr>
        <w:t xml:space="preserve"> tiret trzecie ustawy z dnia 23 stycznia 2026 r. (Dz.U.2026.252) zmieniającej nin. ustawę z dniem 3 kwietnia 2026 r.</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20 pkt 1</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129</w:t>
      </w:r>
      <w:r>
        <w:rPr>
          <w:rFonts w:ascii="Times New Roman"/>
          <w:b w:val="false"/>
          <w:i w:val="false"/>
          <w:color w:val="000000"/>
          <w:sz w:val="24"/>
          <w:lang w:val="pl-PL"/>
        </w:rPr>
        <w:t xml:space="preserve"> Art. 16 zmieniony przez </w:t>
      </w:r>
      <w:r>
        <w:rPr>
          <w:rFonts w:ascii="Times New Roman"/>
          <w:b w:val="false"/>
          <w:i w:val="false"/>
          <w:color w:val="1b1b1b"/>
          <w:sz w:val="24"/>
          <w:lang w:val="pl-PL"/>
        </w:rPr>
        <w:t>art. 1 pkt 24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130</w:t>
      </w:r>
      <w:r>
        <w:rPr>
          <w:rFonts w:ascii="Times New Roman"/>
          <w:b w:val="false"/>
          <w:i w:val="false"/>
          <w:color w:val="000000"/>
          <w:sz w:val="24"/>
          <w:lang w:val="pl-PL"/>
        </w:rPr>
        <w:t xml:space="preserve"> Art. 16a uchylony przez </w:t>
      </w:r>
      <w:r>
        <w:rPr>
          <w:rFonts w:ascii="Times New Roman"/>
          <w:b w:val="false"/>
          <w:i w:val="false"/>
          <w:color w:val="1b1b1b"/>
          <w:sz w:val="24"/>
          <w:lang w:val="pl-PL"/>
        </w:rPr>
        <w:t>art. 1 pkt 25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131</w:t>
      </w:r>
      <w:r>
        <w:rPr>
          <w:rFonts w:ascii="Times New Roman"/>
          <w:b w:val="false"/>
          <w:i w:val="false"/>
          <w:color w:val="000000"/>
          <w:sz w:val="24"/>
          <w:lang w:val="pl-PL"/>
        </w:rPr>
        <w:t xml:space="preserve"> Rozdział 3a dodany przez </w:t>
      </w:r>
      <w:r>
        <w:rPr>
          <w:rFonts w:ascii="Times New Roman"/>
          <w:b w:val="false"/>
          <w:i w:val="false"/>
          <w:color w:val="1b1b1b"/>
          <w:sz w:val="24"/>
          <w:lang w:val="pl-PL"/>
        </w:rPr>
        <w:t>art. 1 pkt 26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132</w:t>
      </w:r>
      <w:r>
        <w:rPr>
          <w:rFonts w:ascii="Times New Roman"/>
          <w:b w:val="false"/>
          <w:i w:val="false"/>
          <w:color w:val="000000"/>
          <w:sz w:val="24"/>
          <w:lang w:val="pl-PL"/>
        </w:rPr>
        <w:t xml:space="preserve"> Rozdział 3b dodany przez </w:t>
      </w:r>
      <w:r>
        <w:rPr>
          <w:rFonts w:ascii="Times New Roman"/>
          <w:b w:val="false"/>
          <w:i w:val="false"/>
          <w:color w:val="1b1b1b"/>
          <w:sz w:val="24"/>
          <w:lang w:val="pl-PL"/>
        </w:rPr>
        <w:t>art. 1 pkt 26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133</w:t>
      </w:r>
      <w:r>
        <w:rPr>
          <w:rFonts w:ascii="Times New Roman"/>
          <w:b w:val="false"/>
          <w:i w:val="false"/>
          <w:color w:val="000000"/>
          <w:sz w:val="24"/>
          <w:lang w:val="pl-PL"/>
        </w:rPr>
        <w:t xml:space="preserve"> Rozdział 4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134</w:t>
      </w:r>
      <w:r>
        <w:rPr>
          <w:rFonts w:ascii="Times New Roman"/>
          <w:b w:val="false"/>
          <w:i w:val="false"/>
          <w:color w:val="000000"/>
          <w:sz w:val="24"/>
          <w:lang w:val="pl-PL"/>
        </w:rPr>
        <w:t xml:space="preserve"> Art. 17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135</w:t>
      </w:r>
      <w:r>
        <w:rPr>
          <w:rFonts w:ascii="Times New Roman"/>
          <w:b w:val="false"/>
          <w:i w:val="false"/>
          <w:color w:val="000000"/>
          <w:sz w:val="24"/>
          <w:lang w:val="pl-PL"/>
        </w:rPr>
        <w:t xml:space="preserve"> Art. 18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136</w:t>
      </w:r>
      <w:r>
        <w:rPr>
          <w:rFonts w:ascii="Times New Roman"/>
          <w:b w:val="false"/>
          <w:i w:val="false"/>
          <w:color w:val="000000"/>
          <w:sz w:val="24"/>
          <w:lang w:val="pl-PL"/>
        </w:rPr>
        <w:t xml:space="preserve"> Art. 19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137</w:t>
      </w:r>
      <w:r>
        <w:rPr>
          <w:rFonts w:ascii="Times New Roman"/>
          <w:b w:val="false"/>
          <w:i w:val="false"/>
          <w:color w:val="000000"/>
          <w:sz w:val="24"/>
          <w:lang w:val="pl-PL"/>
        </w:rPr>
        <w:t xml:space="preserve"> Art. 20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138</w:t>
      </w:r>
      <w:r>
        <w:rPr>
          <w:rFonts w:ascii="Times New Roman"/>
          <w:b w:val="false"/>
          <w:i w:val="false"/>
          <w:color w:val="000000"/>
          <w:sz w:val="24"/>
          <w:lang w:val="pl-PL"/>
        </w:rPr>
        <w:t xml:space="preserve"> Rozdział 5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139</w:t>
      </w:r>
      <w:r>
        <w:rPr>
          <w:rFonts w:ascii="Times New Roman"/>
          <w:b w:val="false"/>
          <w:i w:val="false"/>
          <w:color w:val="000000"/>
          <w:sz w:val="24"/>
          <w:lang w:val="pl-PL"/>
        </w:rPr>
        <w:t xml:space="preserve"> Art. 21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140</w:t>
      </w:r>
      <w:r>
        <w:rPr>
          <w:rFonts w:ascii="Times New Roman"/>
          <w:b w:val="false"/>
          <w:i w:val="false"/>
          <w:color w:val="000000"/>
          <w:sz w:val="24"/>
          <w:lang w:val="pl-PL"/>
        </w:rPr>
        <w:t xml:space="preserve"> Art. 22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141</w:t>
      </w:r>
      <w:r>
        <w:rPr>
          <w:rFonts w:ascii="Times New Roman"/>
          <w:b w:val="false"/>
          <w:i w:val="false"/>
          <w:color w:val="000000"/>
          <w:sz w:val="24"/>
          <w:lang w:val="pl-PL"/>
        </w:rPr>
        <w:t xml:space="preserve"> Art. 23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142</w:t>
      </w:r>
      <w:r>
        <w:rPr>
          <w:rFonts w:ascii="Times New Roman"/>
          <w:b w:val="false"/>
          <w:i w:val="false"/>
          <w:color w:val="000000"/>
          <w:sz w:val="24"/>
          <w:lang w:val="pl-PL"/>
        </w:rPr>
        <w:t xml:space="preserve"> Art. 24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143</w:t>
      </w:r>
      <w:r>
        <w:rPr>
          <w:rFonts w:ascii="Times New Roman"/>
          <w:b w:val="false"/>
          <w:i w:val="false"/>
          <w:color w:val="000000"/>
          <w:sz w:val="24"/>
          <w:lang w:val="pl-PL"/>
        </w:rPr>
        <w:t xml:space="preserve"> Art. 25 uchylony przez </w:t>
      </w:r>
      <w:r>
        <w:rPr>
          <w:rFonts w:ascii="Times New Roman"/>
          <w:b w:val="false"/>
          <w:i w:val="false"/>
          <w:color w:val="1b1b1b"/>
          <w:sz w:val="24"/>
          <w:lang w:val="pl-PL"/>
        </w:rPr>
        <w:t>art. 1 pkt 27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144</w:t>
      </w:r>
      <w:r>
        <w:rPr>
          <w:rFonts w:ascii="Times New Roman"/>
          <w:b w:val="false"/>
          <w:i w:val="false"/>
          <w:color w:val="000000"/>
          <w:sz w:val="24"/>
          <w:lang w:val="pl-PL"/>
        </w:rPr>
        <w:t xml:space="preserve"> Art. 26 ust. 1 zmieniony przez </w:t>
      </w:r>
      <w:r>
        <w:rPr>
          <w:rFonts w:ascii="Times New Roman"/>
          <w:b w:val="false"/>
          <w:i w:val="false"/>
          <w:color w:val="1b1b1b"/>
          <w:sz w:val="24"/>
          <w:lang w:val="pl-PL"/>
        </w:rPr>
        <w:t>art. 1 pkt 28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145</w:t>
      </w:r>
      <w:r>
        <w:rPr>
          <w:rFonts w:ascii="Times New Roman"/>
          <w:b w:val="false"/>
          <w:i w:val="false"/>
          <w:color w:val="000000"/>
          <w:sz w:val="24"/>
          <w:lang w:val="pl-PL"/>
        </w:rPr>
        <w:t xml:space="preserve"> Art. 26 ust. 1a dodany przez </w:t>
      </w:r>
      <w:r>
        <w:rPr>
          <w:rFonts w:ascii="Times New Roman"/>
          <w:b w:val="false"/>
          <w:i w:val="false"/>
          <w:color w:val="1b1b1b"/>
          <w:sz w:val="24"/>
          <w:lang w:val="pl-PL"/>
        </w:rPr>
        <w:t>art. 1 pkt 28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146</w:t>
      </w:r>
      <w:r>
        <w:rPr>
          <w:rFonts w:ascii="Times New Roman"/>
          <w:b w:val="false"/>
          <w:i w:val="false"/>
          <w:color w:val="000000"/>
          <w:sz w:val="24"/>
          <w:lang w:val="pl-PL"/>
        </w:rPr>
        <w:t xml:space="preserve"> Art. 26 ust. 2 zmieniony przez </w:t>
      </w:r>
      <w:r>
        <w:rPr>
          <w:rFonts w:ascii="Times New Roman"/>
          <w:b w:val="false"/>
          <w:i w:val="false"/>
          <w:color w:val="1b1b1b"/>
          <w:sz w:val="24"/>
          <w:lang w:val="pl-PL"/>
        </w:rPr>
        <w:t>art. 1 pkt 28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147</w:t>
      </w:r>
      <w:r>
        <w:rPr>
          <w:rFonts w:ascii="Times New Roman"/>
          <w:b w:val="false"/>
          <w:i w:val="false"/>
          <w:color w:val="000000"/>
          <w:sz w:val="24"/>
          <w:lang w:val="pl-PL"/>
        </w:rPr>
        <w:t xml:space="preserve"> Art. 26 ust. 2a dodany przez </w:t>
      </w:r>
      <w:r>
        <w:rPr>
          <w:rFonts w:ascii="Times New Roman"/>
          <w:b w:val="false"/>
          <w:i w:val="false"/>
          <w:color w:val="1b1b1b"/>
          <w:sz w:val="24"/>
          <w:lang w:val="pl-PL"/>
        </w:rPr>
        <w:t>art. 1 pkt 28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148</w:t>
      </w:r>
      <w:r>
        <w:rPr>
          <w:rFonts w:ascii="Times New Roman"/>
          <w:b w:val="false"/>
          <w:i w:val="false"/>
          <w:color w:val="000000"/>
          <w:sz w:val="24"/>
          <w:lang w:val="pl-PL"/>
        </w:rPr>
        <w:t xml:space="preserve"> Art. 26 ust. 2b dodany przez </w:t>
      </w:r>
      <w:r>
        <w:rPr>
          <w:rFonts w:ascii="Times New Roman"/>
          <w:b w:val="false"/>
          <w:i w:val="false"/>
          <w:color w:val="1b1b1b"/>
          <w:sz w:val="24"/>
          <w:lang w:val="pl-PL"/>
        </w:rPr>
        <w:t>art. 1 pkt 28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149</w:t>
      </w:r>
      <w:r>
        <w:rPr>
          <w:rFonts w:ascii="Times New Roman"/>
          <w:b w:val="false"/>
          <w:i w:val="false"/>
          <w:color w:val="000000"/>
          <w:sz w:val="24"/>
          <w:lang w:val="pl-PL"/>
        </w:rPr>
        <w:t xml:space="preserve"> Art. 26 ust. 2c dodany przez </w:t>
      </w:r>
      <w:r>
        <w:rPr>
          <w:rFonts w:ascii="Times New Roman"/>
          <w:b w:val="false"/>
          <w:i w:val="false"/>
          <w:color w:val="1b1b1b"/>
          <w:sz w:val="24"/>
          <w:lang w:val="pl-PL"/>
        </w:rPr>
        <w:t>art. 1 pkt 28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150</w:t>
      </w:r>
      <w:r>
        <w:rPr>
          <w:rFonts w:ascii="Times New Roman"/>
          <w:b w:val="false"/>
          <w:i w:val="false"/>
          <w:color w:val="000000"/>
          <w:sz w:val="24"/>
          <w:lang w:val="pl-PL"/>
        </w:rPr>
        <w:t xml:space="preserve"> Art. 26 ust. 3 pkt 1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151</w:t>
      </w:r>
      <w:r>
        <w:rPr>
          <w:rFonts w:ascii="Times New Roman"/>
          <w:b w:val="false"/>
          <w:i w:val="false"/>
          <w:color w:val="000000"/>
          <w:sz w:val="24"/>
          <w:lang w:val="pl-PL"/>
        </w:rPr>
        <w:t xml:space="preserve"> Art. 26 ust. 3 pkt 2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152</w:t>
      </w:r>
      <w:r>
        <w:rPr>
          <w:rFonts w:ascii="Times New Roman"/>
          <w:b w:val="false"/>
          <w:i w:val="false"/>
          <w:color w:val="000000"/>
          <w:sz w:val="24"/>
          <w:lang w:val="pl-PL"/>
        </w:rPr>
        <w:t xml:space="preserve"> Art. 26 ust. 3 pkt 3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153</w:t>
      </w:r>
      <w:r>
        <w:rPr>
          <w:rFonts w:ascii="Times New Roman"/>
          <w:b w:val="false"/>
          <w:i w:val="false"/>
          <w:color w:val="000000"/>
          <w:sz w:val="24"/>
          <w:lang w:val="pl-PL"/>
        </w:rPr>
        <w:t xml:space="preserve"> Art. 26 ust. 3 pkt 4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154</w:t>
      </w:r>
      <w:r>
        <w:rPr>
          <w:rFonts w:ascii="Times New Roman"/>
          <w:b w:val="false"/>
          <w:i w:val="false"/>
          <w:color w:val="000000"/>
          <w:sz w:val="24"/>
          <w:lang w:val="pl-PL"/>
        </w:rPr>
        <w:t xml:space="preserve"> Art. 26 ust. 3 pkt 6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155</w:t>
      </w:r>
      <w:r>
        <w:rPr>
          <w:rFonts w:ascii="Times New Roman"/>
          <w:b w:val="false"/>
          <w:i w:val="false"/>
          <w:color w:val="000000"/>
          <w:sz w:val="24"/>
          <w:lang w:val="pl-PL"/>
        </w:rPr>
        <w:t xml:space="preserve"> Art. 26 ust. 3 pkt 7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156</w:t>
      </w:r>
      <w:r>
        <w:rPr>
          <w:rFonts w:ascii="Times New Roman"/>
          <w:b w:val="false"/>
          <w:i w:val="false"/>
          <w:color w:val="000000"/>
          <w:sz w:val="24"/>
          <w:lang w:val="pl-PL"/>
        </w:rPr>
        <w:t xml:space="preserve"> Art. 26 ust. 3 pkt 10 zmieniony przez </w:t>
      </w:r>
      <w:r>
        <w:rPr>
          <w:rFonts w:ascii="Times New Roman"/>
          <w:b w:val="false"/>
          <w:i w:val="false"/>
          <w:color w:val="1b1b1b"/>
          <w:sz w:val="24"/>
          <w:lang w:val="pl-PL"/>
        </w:rPr>
        <w:t>art. 1 pkt 26 lit. e tiret czwarty</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157</w:t>
      </w:r>
      <w:r>
        <w:rPr>
          <w:rFonts w:ascii="Times New Roman"/>
          <w:b w:val="false"/>
          <w:i w:val="false"/>
          <w:color w:val="000000"/>
          <w:sz w:val="24"/>
          <w:lang w:val="pl-PL"/>
        </w:rPr>
        <w:t xml:space="preserve"> Art. 26 ust. 3 pkt 11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158</w:t>
      </w:r>
      <w:r>
        <w:rPr>
          <w:rFonts w:ascii="Times New Roman"/>
          <w:b w:val="false"/>
          <w:i w:val="false"/>
          <w:color w:val="000000"/>
          <w:sz w:val="24"/>
          <w:lang w:val="pl-PL"/>
        </w:rPr>
        <w:t xml:space="preserve"> Art. 26 ust. 3 pkt 12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159</w:t>
      </w:r>
      <w:r>
        <w:rPr>
          <w:rFonts w:ascii="Times New Roman"/>
          <w:b w:val="false"/>
          <w:i w:val="false"/>
          <w:color w:val="000000"/>
          <w:sz w:val="24"/>
          <w:lang w:val="pl-PL"/>
        </w:rPr>
        <w:t xml:space="preserve"> Art. 26 ust. 3 pkt 13 zmieniony przez </w:t>
      </w:r>
      <w:r>
        <w:rPr>
          <w:rFonts w:ascii="Times New Roman"/>
          <w:b w:val="false"/>
          <w:i w:val="false"/>
          <w:color w:val="1b1b1b"/>
          <w:sz w:val="24"/>
          <w:lang w:val="pl-PL"/>
        </w:rPr>
        <w:t>art. 20 pkt 2 lit. a</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160</w:t>
      </w:r>
      <w:r>
        <w:rPr>
          <w:rFonts w:ascii="Times New Roman"/>
          <w:b w:val="false"/>
          <w:i w:val="false"/>
          <w:color w:val="000000"/>
          <w:sz w:val="24"/>
          <w:lang w:val="pl-PL"/>
        </w:rPr>
        <w:t xml:space="preserve"> Art. 26 ust. 3 pkt 14 lit. b zmieniona przez </w:t>
      </w:r>
      <w:r>
        <w:rPr>
          <w:rFonts w:ascii="Times New Roman"/>
          <w:b w:val="false"/>
          <w:i w:val="false"/>
          <w:color w:val="1b1b1b"/>
          <w:sz w:val="24"/>
          <w:lang w:val="pl-PL"/>
        </w:rPr>
        <w:t>art. 1 pkt 26 lit. e tiret szósty</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161</w:t>
      </w:r>
      <w:r>
        <w:rPr>
          <w:rFonts w:ascii="Times New Roman"/>
          <w:b w:val="false"/>
          <w:i w:val="false"/>
          <w:color w:val="000000"/>
          <w:sz w:val="24"/>
          <w:lang w:val="pl-PL"/>
        </w:rPr>
        <w:t xml:space="preserve"> Art. 26 ust. 3 pkt 14 lit. c zmieniona przez </w:t>
      </w:r>
      <w:r>
        <w:rPr>
          <w:rFonts w:ascii="Times New Roman"/>
          <w:b w:val="false"/>
          <w:i w:val="false"/>
          <w:color w:val="1b1b1b"/>
          <w:sz w:val="24"/>
          <w:lang w:val="pl-PL"/>
        </w:rPr>
        <w:t>art. 1 pkt 26 lit. e tiret szósty</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162</w:t>
      </w:r>
      <w:r>
        <w:rPr>
          <w:rFonts w:ascii="Times New Roman"/>
          <w:b w:val="false"/>
          <w:i w:val="false"/>
          <w:color w:val="000000"/>
          <w:sz w:val="24"/>
          <w:lang w:val="pl-PL"/>
        </w:rPr>
        <w:t xml:space="preserve"> Art. 26 ust. 3 pkt 15 uchylony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siódme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163</w:t>
      </w:r>
      <w:r>
        <w:rPr>
          <w:rFonts w:ascii="Times New Roman"/>
          <w:b w:val="false"/>
          <w:i w:val="false"/>
          <w:color w:val="000000"/>
          <w:sz w:val="24"/>
          <w:lang w:val="pl-PL"/>
        </w:rPr>
        <w:t xml:space="preserve"> Art. 26 ust. 3 pkt 16 zmieniony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ósme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164</w:t>
      </w:r>
      <w:r>
        <w:rPr>
          <w:rFonts w:ascii="Times New Roman"/>
          <w:b w:val="false"/>
          <w:i w:val="false"/>
          <w:color w:val="000000"/>
          <w:sz w:val="24"/>
          <w:lang w:val="pl-PL"/>
        </w:rPr>
        <w:t xml:space="preserve"> Art. 26 ust. 3 pkt 17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165</w:t>
      </w:r>
      <w:r>
        <w:rPr>
          <w:rFonts w:ascii="Times New Roman"/>
          <w:b w:val="false"/>
          <w:i w:val="false"/>
          <w:color w:val="000000"/>
          <w:sz w:val="24"/>
          <w:lang w:val="pl-PL"/>
        </w:rPr>
        <w:t xml:space="preserve"> Art. 26 ust. 3 pkt 18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166</w:t>
      </w:r>
      <w:r>
        <w:rPr>
          <w:rFonts w:ascii="Times New Roman"/>
          <w:b w:val="false"/>
          <w:i w:val="false"/>
          <w:color w:val="000000"/>
          <w:sz w:val="24"/>
          <w:lang w:val="pl-PL"/>
        </w:rPr>
        <w:t xml:space="preserve"> Art. 26 ust. 3 pkt 19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167</w:t>
      </w:r>
      <w:r>
        <w:rPr>
          <w:rFonts w:ascii="Times New Roman"/>
          <w:b w:val="false"/>
          <w:i w:val="false"/>
          <w:color w:val="000000"/>
          <w:sz w:val="24"/>
          <w:lang w:val="pl-PL"/>
        </w:rPr>
        <w:t xml:space="preserve"> Art. 26 ust. 3 pkt 20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168</w:t>
      </w:r>
      <w:r>
        <w:rPr>
          <w:rFonts w:ascii="Times New Roman"/>
          <w:b w:val="false"/>
          <w:i w:val="false"/>
          <w:color w:val="000000"/>
          <w:sz w:val="24"/>
          <w:lang w:val="pl-PL"/>
        </w:rPr>
        <w:t xml:space="preserve"> Art. 26 ust. 3 pkt 21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169</w:t>
      </w:r>
      <w:r>
        <w:rPr>
          <w:rFonts w:ascii="Times New Roman"/>
          <w:b w:val="false"/>
          <w:i w:val="false"/>
          <w:color w:val="000000"/>
          <w:sz w:val="24"/>
          <w:lang w:val="pl-PL"/>
        </w:rPr>
        <w:t xml:space="preserve"> Art. 26 ust. 3 pkt 22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170</w:t>
      </w:r>
      <w:r>
        <w:rPr>
          <w:rFonts w:ascii="Times New Roman"/>
          <w:b w:val="false"/>
          <w:i w:val="false"/>
          <w:color w:val="000000"/>
          <w:sz w:val="24"/>
          <w:lang w:val="pl-PL"/>
        </w:rPr>
        <w:t xml:space="preserve"> Art. 26 ust. 3 pkt 23 dodany przez </w:t>
      </w:r>
      <w:r>
        <w:rPr>
          <w:rFonts w:ascii="Times New Roman"/>
          <w:b w:val="false"/>
          <w:i w:val="false"/>
          <w:color w:val="1b1b1b"/>
          <w:sz w:val="24"/>
          <w:lang w:val="pl-PL"/>
        </w:rPr>
        <w:t>art. 1 pkt 28 lit. e</w:t>
      </w:r>
      <w:r>
        <w:rPr>
          <w:rFonts w:ascii="Times New Roman"/>
          <w:b w:val="false"/>
          <w:i w:val="false"/>
          <w:color w:val="000000"/>
          <w:sz w:val="24"/>
          <w:lang w:val="pl-PL"/>
        </w:rPr>
        <w:t xml:space="preserve"> tiret dziewiąte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171</w:t>
      </w:r>
      <w:r>
        <w:rPr>
          <w:rFonts w:ascii="Times New Roman"/>
          <w:b w:val="false"/>
          <w:i w:val="false"/>
          <w:color w:val="000000"/>
          <w:sz w:val="24"/>
          <w:lang w:val="pl-PL"/>
        </w:rPr>
        <w:t xml:space="preserve"> Art. 26 ust. 3a dodany przez </w:t>
      </w:r>
      <w:r>
        <w:rPr>
          <w:rFonts w:ascii="Times New Roman"/>
          <w:b w:val="false"/>
          <w:i w:val="false"/>
          <w:color w:val="1b1b1b"/>
          <w:sz w:val="24"/>
          <w:lang w:val="pl-PL"/>
        </w:rPr>
        <w:t>art. 1 pkt 28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172</w:t>
      </w:r>
      <w:r>
        <w:rPr>
          <w:rFonts w:ascii="Times New Roman"/>
          <w:b w:val="false"/>
          <w:i w:val="false"/>
          <w:color w:val="000000"/>
          <w:sz w:val="24"/>
          <w:lang w:val="pl-PL"/>
        </w:rPr>
        <w:t xml:space="preserve"> Art. 26 ust. 4 zmieniony przez </w:t>
      </w:r>
      <w:r>
        <w:rPr>
          <w:rFonts w:ascii="Times New Roman"/>
          <w:b w:val="false"/>
          <w:i w:val="false"/>
          <w:color w:val="1b1b1b"/>
          <w:sz w:val="24"/>
          <w:lang w:val="pl-PL"/>
        </w:rPr>
        <w:t>art. 1 pkt 28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173</w:t>
      </w:r>
      <w:r>
        <w:rPr>
          <w:rFonts w:ascii="Times New Roman"/>
          <w:b w:val="false"/>
          <w:i w:val="false"/>
          <w:color w:val="000000"/>
          <w:sz w:val="24"/>
          <w:lang w:val="pl-PL"/>
        </w:rPr>
        <w:t xml:space="preserve"> Art. 26 ust. 5 pkt 1 zmieniony przez </w:t>
      </w:r>
      <w:r>
        <w:rPr>
          <w:rFonts w:ascii="Times New Roman"/>
          <w:b w:val="false"/>
          <w:i w:val="false"/>
          <w:color w:val="1b1b1b"/>
          <w:sz w:val="24"/>
          <w:lang w:val="pl-PL"/>
        </w:rPr>
        <w:t>art. 20 pkt 2 lit. b</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174</w:t>
      </w:r>
      <w:r>
        <w:rPr>
          <w:rFonts w:ascii="Times New Roman"/>
          <w:b w:val="false"/>
          <w:i w:val="false"/>
          <w:color w:val="000000"/>
          <w:sz w:val="24"/>
          <w:lang w:val="pl-PL"/>
        </w:rPr>
        <w:t xml:space="preserve"> Art. 26 ust. 5 pkt 3 dodany przez </w:t>
      </w:r>
      <w:r>
        <w:rPr>
          <w:rFonts w:ascii="Times New Roman"/>
          <w:b w:val="false"/>
          <w:i w:val="false"/>
          <w:color w:val="1b1b1b"/>
          <w:sz w:val="24"/>
          <w:lang w:val="pl-PL"/>
        </w:rPr>
        <w:t>art. 1 pkt 28 lit. h</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175</w:t>
      </w:r>
      <w:r>
        <w:rPr>
          <w:rFonts w:ascii="Times New Roman"/>
          <w:b w:val="false"/>
          <w:i w:val="false"/>
          <w:color w:val="000000"/>
          <w:sz w:val="24"/>
          <w:lang w:val="pl-PL"/>
        </w:rPr>
        <w:t xml:space="preserve"> Art. 26 ust. 6 pkt 1 lit. a zmieniona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176</w:t>
      </w:r>
      <w:r>
        <w:rPr>
          <w:rFonts w:ascii="Times New Roman"/>
          <w:b w:val="false"/>
          <w:i w:val="false"/>
          <w:color w:val="000000"/>
          <w:sz w:val="24"/>
          <w:lang w:val="pl-PL"/>
        </w:rPr>
        <w:t xml:space="preserve"> Art. 26 ust. 6 pkt 1 lit. aa dodana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177</w:t>
      </w:r>
      <w:r>
        <w:rPr>
          <w:rFonts w:ascii="Times New Roman"/>
          <w:b w:val="false"/>
          <w:i w:val="false"/>
          <w:color w:val="000000"/>
          <w:sz w:val="24"/>
          <w:lang w:val="pl-PL"/>
        </w:rPr>
        <w:t xml:space="preserve"> Art. 26 ust. 6 lit. b zmieniona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178</w:t>
      </w:r>
      <w:r>
        <w:rPr>
          <w:rFonts w:ascii="Times New Roman"/>
          <w:b w:val="false"/>
          <w:i w:val="false"/>
          <w:color w:val="000000"/>
          <w:sz w:val="24"/>
          <w:lang w:val="pl-PL"/>
        </w:rPr>
        <w:t xml:space="preserve"> Art. 26 ust. 6 lit. c zmieniona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179</w:t>
      </w:r>
      <w:r>
        <w:rPr>
          <w:rFonts w:ascii="Times New Roman"/>
          <w:b w:val="false"/>
          <w:i w:val="false"/>
          <w:color w:val="000000"/>
          <w:sz w:val="24"/>
          <w:lang w:val="pl-PL"/>
        </w:rPr>
        <w:t xml:space="preserve"> Art. 26 ust. 6 lit. ca dodana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180</w:t>
      </w:r>
      <w:r>
        <w:rPr>
          <w:rFonts w:ascii="Times New Roman"/>
          <w:b w:val="false"/>
          <w:i w:val="false"/>
          <w:color w:val="000000"/>
          <w:sz w:val="24"/>
          <w:lang w:val="pl-PL"/>
        </w:rPr>
        <w:t xml:space="preserve"> Art. 26 ust. 6 lit. cb dodana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181</w:t>
      </w:r>
      <w:r>
        <w:rPr>
          <w:rFonts w:ascii="Times New Roman"/>
          <w:b w:val="false"/>
          <w:i w:val="false"/>
          <w:color w:val="000000"/>
          <w:sz w:val="24"/>
          <w:lang w:val="pl-PL"/>
        </w:rPr>
        <w:t xml:space="preserve"> Art. 26 ust. 6 lit. cc dodana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182</w:t>
      </w:r>
      <w:r>
        <w:rPr>
          <w:rFonts w:ascii="Times New Roman"/>
          <w:b w:val="false"/>
          <w:i w:val="false"/>
          <w:color w:val="000000"/>
          <w:sz w:val="24"/>
          <w:lang w:val="pl-PL"/>
        </w:rPr>
        <w:t xml:space="preserve"> Art. 26 ust. 6 lit. e uchylona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183</w:t>
      </w:r>
      <w:r>
        <w:rPr>
          <w:rFonts w:ascii="Times New Roman"/>
          <w:b w:val="false"/>
          <w:i w:val="false"/>
          <w:color w:val="000000"/>
          <w:sz w:val="24"/>
          <w:lang w:val="pl-PL"/>
        </w:rPr>
        <w:t xml:space="preserve"> Art. 26 ust. 6 lit. i uchylona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szóste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184</w:t>
      </w:r>
      <w:r>
        <w:rPr>
          <w:rFonts w:ascii="Times New Roman"/>
          <w:b w:val="false"/>
          <w:i w:val="false"/>
          <w:color w:val="000000"/>
          <w:sz w:val="24"/>
          <w:lang w:val="pl-PL"/>
        </w:rPr>
        <w:t xml:space="preserve"> Art. 26 ust. 6 lit. j zmieniona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pierwsze podwójne tiret siódme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185</w:t>
      </w:r>
      <w:r>
        <w:rPr>
          <w:rFonts w:ascii="Times New Roman"/>
          <w:b w:val="false"/>
          <w:i w:val="false"/>
          <w:color w:val="000000"/>
          <w:sz w:val="24"/>
          <w:lang w:val="pl-PL"/>
        </w:rPr>
        <w:t xml:space="preserve"> Art. 26 ust. 6 pkt 2 zmieniony przez </w:t>
      </w:r>
      <w:r>
        <w:rPr>
          <w:rFonts w:ascii="Times New Roman"/>
          <w:b w:val="false"/>
          <w:i w:val="false"/>
          <w:color w:val="1b1b1b"/>
          <w:sz w:val="24"/>
          <w:lang w:val="pl-PL"/>
        </w:rPr>
        <w:t>art. 1 pkt 28 lit. i</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186</w:t>
      </w:r>
      <w:r>
        <w:rPr>
          <w:rFonts w:ascii="Times New Roman"/>
          <w:b w:val="false"/>
          <w:i w:val="false"/>
          <w:color w:val="000000"/>
          <w:sz w:val="24"/>
          <w:lang w:val="pl-PL"/>
        </w:rPr>
        <w:t xml:space="preserve"> Art. 26 ust. 7 pkt 1 zmieniony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187</w:t>
      </w:r>
      <w:r>
        <w:rPr>
          <w:rFonts w:ascii="Times New Roman"/>
          <w:b w:val="false"/>
          <w:i w:val="false"/>
          <w:color w:val="000000"/>
          <w:sz w:val="24"/>
          <w:lang w:val="pl-PL"/>
        </w:rPr>
        <w:t xml:space="preserve"> Art. 26 ust. 7 pkt 4a dodany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188</w:t>
      </w:r>
      <w:r>
        <w:rPr>
          <w:rFonts w:ascii="Times New Roman"/>
          <w:b w:val="false"/>
          <w:i w:val="false"/>
          <w:color w:val="000000"/>
          <w:sz w:val="24"/>
          <w:lang w:val="pl-PL"/>
        </w:rPr>
        <w:t xml:space="preserve"> Art. 26 ust. 7 pkt 4b dodany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189</w:t>
      </w:r>
      <w:r>
        <w:rPr>
          <w:rFonts w:ascii="Times New Roman"/>
          <w:b w:val="false"/>
          <w:i w:val="false"/>
          <w:color w:val="000000"/>
          <w:sz w:val="24"/>
          <w:lang w:val="pl-PL"/>
        </w:rPr>
        <w:t xml:space="preserve"> Art. 26 ust. 7 pkt 4c dodany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190</w:t>
      </w:r>
      <w:r>
        <w:rPr>
          <w:rFonts w:ascii="Times New Roman"/>
          <w:b w:val="false"/>
          <w:i w:val="false"/>
          <w:color w:val="000000"/>
          <w:sz w:val="24"/>
          <w:lang w:val="pl-PL"/>
        </w:rPr>
        <w:t xml:space="preserve"> Art. 26 ust. 7 pkt 4d dodany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191</w:t>
      </w:r>
      <w:r>
        <w:rPr>
          <w:rFonts w:ascii="Times New Roman"/>
          <w:b w:val="false"/>
          <w:i w:val="false"/>
          <w:color w:val="000000"/>
          <w:sz w:val="24"/>
          <w:lang w:val="pl-PL"/>
        </w:rPr>
        <w:t xml:space="preserve"> Art. 26 ust. 7 pkt 4e dodany przez </w:t>
      </w:r>
      <w:r>
        <w:rPr>
          <w:rFonts w:ascii="Times New Roman"/>
          <w:b w:val="false"/>
          <w:i w:val="false"/>
          <w:color w:val="1b1b1b"/>
          <w:sz w:val="24"/>
          <w:lang w:val="pl-PL"/>
        </w:rPr>
        <w:t>art. 1 pkt 28 lit. j</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192</w:t>
      </w:r>
      <w:r>
        <w:rPr>
          <w:rFonts w:ascii="Times New Roman"/>
          <w:b w:val="false"/>
          <w:i w:val="false"/>
          <w:color w:val="000000"/>
          <w:sz w:val="24"/>
          <w:lang w:val="pl-PL"/>
        </w:rPr>
        <w:t xml:space="preserve"> Art. 26 ust. 7 pkt 5 zmieniony przez </w:t>
      </w:r>
      <w:r>
        <w:rPr>
          <w:rFonts w:ascii="Times New Roman"/>
          <w:b w:val="false"/>
          <w:i w:val="false"/>
          <w:color w:val="1b1b1b"/>
          <w:sz w:val="24"/>
          <w:lang w:val="pl-PL"/>
        </w:rPr>
        <w:t>art. 20 pkt 2 lit. c</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193</w:t>
      </w:r>
      <w:r>
        <w:rPr>
          <w:rFonts w:ascii="Times New Roman"/>
          <w:b w:val="false"/>
          <w:i w:val="false"/>
          <w:color w:val="000000"/>
          <w:sz w:val="24"/>
          <w:lang w:val="pl-PL"/>
        </w:rPr>
        <w:t xml:space="preserve"> Art. 26 ust. 7 pkt 6 zmieniony przez </w:t>
      </w:r>
      <w:r>
        <w:rPr>
          <w:rFonts w:ascii="Times New Roman"/>
          <w:b w:val="false"/>
          <w:i w:val="false"/>
          <w:color w:val="1b1b1b"/>
          <w:sz w:val="24"/>
          <w:lang w:val="pl-PL"/>
        </w:rPr>
        <w:t>art. 20 pkt 2 lit. c</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194</w:t>
      </w:r>
      <w:r>
        <w:rPr>
          <w:rFonts w:ascii="Times New Roman"/>
          <w:b w:val="false"/>
          <w:i w:val="false"/>
          <w:color w:val="000000"/>
          <w:sz w:val="24"/>
          <w:lang w:val="pl-PL"/>
        </w:rPr>
        <w:t xml:space="preserve"> Art. 26 ust. 8a dodany przez </w:t>
      </w:r>
      <w:r>
        <w:rPr>
          <w:rFonts w:ascii="Times New Roman"/>
          <w:b w:val="false"/>
          <w:i w:val="false"/>
          <w:color w:val="1b1b1b"/>
          <w:sz w:val="24"/>
          <w:lang w:val="pl-PL"/>
        </w:rPr>
        <w:t>art. 1 pkt 28 lit. k</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195</w:t>
      </w:r>
      <w:r>
        <w:rPr>
          <w:rFonts w:ascii="Times New Roman"/>
          <w:b w:val="false"/>
          <w:i w:val="false"/>
          <w:color w:val="000000"/>
          <w:sz w:val="24"/>
          <w:lang w:val="pl-PL"/>
        </w:rPr>
        <w:t xml:space="preserve"> Art. 26 ust. 12 dodany przez </w:t>
      </w:r>
      <w:r>
        <w:rPr>
          <w:rFonts w:ascii="Times New Roman"/>
          <w:b w:val="false"/>
          <w:i w:val="false"/>
          <w:color w:val="1b1b1b"/>
          <w:sz w:val="24"/>
          <w:lang w:val="pl-PL"/>
        </w:rPr>
        <w:t>art. 1 pkt 28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196</w:t>
      </w:r>
      <w:r>
        <w:rPr>
          <w:rFonts w:ascii="Times New Roman"/>
          <w:b w:val="false"/>
          <w:i w:val="false"/>
          <w:color w:val="000000"/>
          <w:sz w:val="24"/>
          <w:lang w:val="pl-PL"/>
        </w:rPr>
        <w:t xml:space="preserve"> Art. 26 ust. 13 dodany przez </w:t>
      </w:r>
      <w:r>
        <w:rPr>
          <w:rFonts w:ascii="Times New Roman"/>
          <w:b w:val="false"/>
          <w:i w:val="false"/>
          <w:color w:val="1b1b1b"/>
          <w:sz w:val="24"/>
          <w:lang w:val="pl-PL"/>
        </w:rPr>
        <w:t>art. 1 pkt 28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197</w:t>
      </w:r>
      <w:r>
        <w:rPr>
          <w:rFonts w:ascii="Times New Roman"/>
          <w:b w:val="false"/>
          <w:i w:val="false"/>
          <w:color w:val="000000"/>
          <w:sz w:val="24"/>
          <w:lang w:val="pl-PL"/>
        </w:rPr>
        <w:t xml:space="preserve"> Art. 26 ust. 14 dodany przez </w:t>
      </w:r>
      <w:r>
        <w:rPr>
          <w:rFonts w:ascii="Times New Roman"/>
          <w:b w:val="false"/>
          <w:i w:val="false"/>
          <w:color w:val="1b1b1b"/>
          <w:sz w:val="24"/>
          <w:lang w:val="pl-PL"/>
        </w:rPr>
        <w:t>art. 1 pkt 28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198</w:t>
      </w:r>
      <w:r>
        <w:rPr>
          <w:rFonts w:ascii="Times New Roman"/>
          <w:b w:val="false"/>
          <w:i w:val="false"/>
          <w:color w:val="000000"/>
          <w:sz w:val="24"/>
          <w:lang w:val="pl-PL"/>
        </w:rPr>
        <w:t xml:space="preserve"> Art. 26 ust. 15 dodany przez </w:t>
      </w:r>
      <w:r>
        <w:rPr>
          <w:rFonts w:ascii="Times New Roman"/>
          <w:b w:val="false"/>
          <w:i w:val="false"/>
          <w:color w:val="1b1b1b"/>
          <w:sz w:val="24"/>
          <w:lang w:val="pl-PL"/>
        </w:rPr>
        <w:t>art. 1 pkt 28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199</w:t>
      </w:r>
      <w:r>
        <w:rPr>
          <w:rFonts w:ascii="Times New Roman"/>
          <w:b w:val="false"/>
          <w:i w:val="false"/>
          <w:color w:val="000000"/>
          <w:sz w:val="24"/>
          <w:lang w:val="pl-PL"/>
        </w:rPr>
        <w:t xml:space="preserve"> Art. 26 ust. 16 dodany przez </w:t>
      </w:r>
      <w:r>
        <w:rPr>
          <w:rFonts w:ascii="Times New Roman"/>
          <w:b w:val="false"/>
          <w:i w:val="false"/>
          <w:color w:val="1b1b1b"/>
          <w:sz w:val="24"/>
          <w:lang w:val="pl-PL"/>
        </w:rPr>
        <w:t>art. 1 pkt 28 lit. l</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200</w:t>
      </w:r>
      <w:r>
        <w:rPr>
          <w:rFonts w:ascii="Times New Roman"/>
          <w:b w:val="false"/>
          <w:i w:val="false"/>
          <w:color w:val="000000"/>
          <w:sz w:val="24"/>
          <w:lang w:val="pl-PL"/>
        </w:rPr>
        <w:t xml:space="preserve"> Art. 26a dodany przez </w:t>
      </w:r>
      <w:r>
        <w:rPr>
          <w:rFonts w:ascii="Times New Roman"/>
          <w:b w:val="false"/>
          <w:i w:val="false"/>
          <w:color w:val="1b1b1b"/>
          <w:sz w:val="24"/>
          <w:lang w:val="pl-PL"/>
        </w:rPr>
        <w:t>art. 1 pkt 29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201</w:t>
      </w:r>
      <w:r>
        <w:rPr>
          <w:rFonts w:ascii="Times New Roman"/>
          <w:b w:val="false"/>
          <w:i w:val="false"/>
          <w:color w:val="000000"/>
          <w:sz w:val="24"/>
          <w:lang w:val="pl-PL"/>
        </w:rPr>
        <w:t xml:space="preserve"> Art. 26b dodany przez </w:t>
      </w:r>
      <w:r>
        <w:rPr>
          <w:rFonts w:ascii="Times New Roman"/>
          <w:b w:val="false"/>
          <w:i w:val="false"/>
          <w:color w:val="1b1b1b"/>
          <w:sz w:val="24"/>
          <w:lang w:val="pl-PL"/>
        </w:rPr>
        <w:t>art. 1 pkt 29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202</w:t>
      </w:r>
      <w:r>
        <w:rPr>
          <w:rFonts w:ascii="Times New Roman"/>
          <w:b w:val="false"/>
          <w:i w:val="false"/>
          <w:color w:val="000000"/>
          <w:sz w:val="24"/>
          <w:lang w:val="pl-PL"/>
        </w:rPr>
        <w:t xml:space="preserve"> Art. 26c dodany przez </w:t>
      </w:r>
      <w:r>
        <w:rPr>
          <w:rFonts w:ascii="Times New Roman"/>
          <w:b w:val="false"/>
          <w:i w:val="false"/>
          <w:color w:val="1b1b1b"/>
          <w:sz w:val="24"/>
          <w:lang w:val="pl-PL"/>
        </w:rPr>
        <w:t>art. 1 pkt 29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203</w:t>
      </w:r>
      <w:r>
        <w:rPr>
          <w:rFonts w:ascii="Times New Roman"/>
          <w:b w:val="false"/>
          <w:i w:val="false"/>
          <w:color w:val="000000"/>
          <w:sz w:val="24"/>
          <w:lang w:val="pl-PL"/>
        </w:rPr>
        <w:t xml:space="preserve"> Art. 26d dodany przez </w:t>
      </w:r>
      <w:r>
        <w:rPr>
          <w:rFonts w:ascii="Times New Roman"/>
          <w:b w:val="false"/>
          <w:i w:val="false"/>
          <w:color w:val="1b1b1b"/>
          <w:sz w:val="24"/>
          <w:lang w:val="pl-PL"/>
        </w:rPr>
        <w:t>art. 1 pkt 29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204</w:t>
      </w:r>
      <w:r>
        <w:rPr>
          <w:rFonts w:ascii="Times New Roman"/>
          <w:b w:val="false"/>
          <w:i w:val="false"/>
          <w:color w:val="000000"/>
          <w:sz w:val="24"/>
          <w:lang w:val="pl-PL"/>
        </w:rPr>
        <w:t xml:space="preserve"> Art. 28 ust. 1 zmieniony przez </w:t>
      </w:r>
      <w:r>
        <w:rPr>
          <w:rFonts w:ascii="Times New Roman"/>
          <w:b w:val="false"/>
          <w:i w:val="false"/>
          <w:color w:val="1b1b1b"/>
          <w:sz w:val="24"/>
          <w:lang w:val="pl-PL"/>
        </w:rPr>
        <w:t>art. 1 pkt 30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205</w:t>
      </w:r>
      <w:r>
        <w:rPr>
          <w:rFonts w:ascii="Times New Roman"/>
          <w:b w:val="false"/>
          <w:i w:val="false"/>
          <w:color w:val="000000"/>
          <w:sz w:val="24"/>
          <w:lang w:val="pl-PL"/>
        </w:rPr>
        <w:t xml:space="preserve"> Art. 28 ust. 2 zmieniony przez </w:t>
      </w:r>
      <w:r>
        <w:rPr>
          <w:rFonts w:ascii="Times New Roman"/>
          <w:b w:val="false"/>
          <w:i w:val="false"/>
          <w:color w:val="1b1b1b"/>
          <w:sz w:val="24"/>
          <w:lang w:val="pl-PL"/>
        </w:rPr>
        <w:t>art. 1 pkt 30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206</w:t>
      </w:r>
      <w:r>
        <w:rPr>
          <w:rFonts w:ascii="Times New Roman"/>
          <w:b w:val="false"/>
          <w:i w:val="false"/>
          <w:color w:val="000000"/>
          <w:sz w:val="24"/>
          <w:lang w:val="pl-PL"/>
        </w:rPr>
        <w:t xml:space="preserve"> Art. 29 uchylony przez </w:t>
      </w:r>
      <w:r>
        <w:rPr>
          <w:rFonts w:ascii="Times New Roman"/>
          <w:b w:val="false"/>
          <w:i w:val="false"/>
          <w:color w:val="1b1b1b"/>
          <w:sz w:val="24"/>
          <w:lang w:val="pl-PL"/>
        </w:rPr>
        <w:t>art. 1 pkt 31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207</w:t>
      </w:r>
      <w:r>
        <w:rPr>
          <w:rFonts w:ascii="Times New Roman"/>
          <w:b w:val="false"/>
          <w:i w:val="false"/>
          <w:color w:val="000000"/>
          <w:sz w:val="24"/>
          <w:lang w:val="pl-PL"/>
        </w:rPr>
        <w:t xml:space="preserve"> Art. 30 ust. 1 zdanie wstępne zmienione przez </w:t>
      </w:r>
      <w:r>
        <w:rPr>
          <w:rFonts w:ascii="Times New Roman"/>
          <w:b w:val="false"/>
          <w:i w:val="false"/>
          <w:color w:val="1b1b1b"/>
          <w:sz w:val="24"/>
          <w:lang w:val="pl-PL"/>
        </w:rPr>
        <w:t>art. 1 pkt 32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208</w:t>
      </w:r>
      <w:r>
        <w:rPr>
          <w:rFonts w:ascii="Times New Roman"/>
          <w:b w:val="false"/>
          <w:i w:val="false"/>
          <w:color w:val="000000"/>
          <w:sz w:val="24"/>
          <w:lang w:val="pl-PL"/>
        </w:rPr>
        <w:t xml:space="preserve"> Art. 30 ust. 2 zmieniony przez </w:t>
      </w:r>
      <w:r>
        <w:rPr>
          <w:rFonts w:ascii="Times New Roman"/>
          <w:b w:val="false"/>
          <w:i w:val="false"/>
          <w:color w:val="1b1b1b"/>
          <w:sz w:val="24"/>
          <w:lang w:val="pl-PL"/>
        </w:rPr>
        <w:t>art. 1 pkt 32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209</w:t>
      </w:r>
      <w:r>
        <w:rPr>
          <w:rFonts w:ascii="Times New Roman"/>
          <w:b w:val="false"/>
          <w:i w:val="false"/>
          <w:color w:val="000000"/>
          <w:sz w:val="24"/>
          <w:lang w:val="pl-PL"/>
        </w:rPr>
        <w:t xml:space="preserve"> Art. 31 zmieniony przez </w:t>
      </w:r>
      <w:r>
        <w:rPr>
          <w:rFonts w:ascii="Times New Roman"/>
          <w:b w:val="false"/>
          <w:i w:val="false"/>
          <w:color w:val="1b1b1b"/>
          <w:sz w:val="24"/>
          <w:lang w:val="pl-PL"/>
        </w:rPr>
        <w:t>art. 1 pkt 33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210</w:t>
      </w:r>
      <w:r>
        <w:rPr>
          <w:rFonts w:ascii="Times New Roman"/>
          <w:b w:val="false"/>
          <w:i w:val="false"/>
          <w:color w:val="000000"/>
          <w:sz w:val="24"/>
          <w:lang w:val="pl-PL"/>
        </w:rPr>
        <w:t xml:space="preserve"> Art. 32 zmieniony przez </w:t>
      </w:r>
      <w:r>
        <w:rPr>
          <w:rFonts w:ascii="Times New Roman"/>
          <w:b w:val="false"/>
          <w:i w:val="false"/>
          <w:color w:val="1b1b1b"/>
          <w:sz w:val="24"/>
          <w:lang w:val="pl-PL"/>
        </w:rPr>
        <w:t>art. 1 pkt 33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211</w:t>
      </w:r>
      <w:r>
        <w:rPr>
          <w:rFonts w:ascii="Times New Roman"/>
          <w:b w:val="false"/>
          <w:i w:val="false"/>
          <w:color w:val="000000"/>
          <w:sz w:val="24"/>
          <w:lang w:val="pl-PL"/>
        </w:rPr>
        <w:t xml:space="preserve"> Art. 33 ust. 1 zmieniony przez </w:t>
      </w:r>
      <w:r>
        <w:rPr>
          <w:rFonts w:ascii="Times New Roman"/>
          <w:b w:val="false"/>
          <w:i w:val="false"/>
          <w:color w:val="1b1b1b"/>
          <w:sz w:val="24"/>
          <w:lang w:val="pl-PL"/>
        </w:rPr>
        <w:t>art. 1 pkt 34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212</w:t>
      </w:r>
      <w:r>
        <w:rPr>
          <w:rFonts w:ascii="Times New Roman"/>
          <w:b w:val="false"/>
          <w:i w:val="false"/>
          <w:color w:val="000000"/>
          <w:sz w:val="24"/>
          <w:lang w:val="pl-PL"/>
        </w:rPr>
        <w:t xml:space="preserve"> Art. 33 ust. 1a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213</w:t>
      </w:r>
      <w:r>
        <w:rPr>
          <w:rFonts w:ascii="Times New Roman"/>
          <w:b w:val="false"/>
          <w:i w:val="false"/>
          <w:color w:val="000000"/>
          <w:sz w:val="24"/>
          <w:lang w:val="pl-PL"/>
        </w:rPr>
        <w:t xml:space="preserve"> Art. 33 ust. 1b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214</w:t>
      </w:r>
      <w:r>
        <w:rPr>
          <w:rFonts w:ascii="Times New Roman"/>
          <w:b w:val="false"/>
          <w:i w:val="false"/>
          <w:color w:val="000000"/>
          <w:sz w:val="24"/>
          <w:lang w:val="pl-PL"/>
        </w:rPr>
        <w:t xml:space="preserve"> Art. 33 ust. 1c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215</w:t>
      </w:r>
      <w:r>
        <w:rPr>
          <w:rFonts w:ascii="Times New Roman"/>
          <w:b w:val="false"/>
          <w:i w:val="false"/>
          <w:color w:val="000000"/>
          <w:sz w:val="24"/>
          <w:lang w:val="pl-PL"/>
        </w:rPr>
        <w:t xml:space="preserve"> Art. 33 ust. 1d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216</w:t>
      </w:r>
      <w:r>
        <w:rPr>
          <w:rFonts w:ascii="Times New Roman"/>
          <w:b w:val="false"/>
          <w:i w:val="false"/>
          <w:color w:val="000000"/>
          <w:sz w:val="24"/>
          <w:lang w:val="pl-PL"/>
        </w:rPr>
        <w:t xml:space="preserve"> Art. 33 ust. 1e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217</w:t>
      </w:r>
      <w:r>
        <w:rPr>
          <w:rFonts w:ascii="Times New Roman"/>
          <w:b w:val="false"/>
          <w:i w:val="false"/>
          <w:color w:val="000000"/>
          <w:sz w:val="24"/>
          <w:lang w:val="pl-PL"/>
        </w:rPr>
        <w:t xml:space="preserve"> Art. 33 ust. 1f dodany przez </w:t>
      </w:r>
      <w:r>
        <w:rPr>
          <w:rFonts w:ascii="Times New Roman"/>
          <w:b w:val="false"/>
          <w:i w:val="false"/>
          <w:color w:val="1b1b1b"/>
          <w:sz w:val="24"/>
          <w:lang w:val="pl-PL"/>
        </w:rPr>
        <w:t>art. 1 pkt 34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218</w:t>
      </w:r>
      <w:r>
        <w:rPr>
          <w:rFonts w:ascii="Times New Roman"/>
          <w:b w:val="false"/>
          <w:i w:val="false"/>
          <w:color w:val="000000"/>
          <w:sz w:val="24"/>
          <w:lang w:val="pl-PL"/>
        </w:rPr>
        <w:t xml:space="preserve"> Art. 33 ust. 2 zmieniony przez </w:t>
      </w:r>
      <w:r>
        <w:rPr>
          <w:rFonts w:ascii="Times New Roman"/>
          <w:b w:val="false"/>
          <w:i w:val="false"/>
          <w:color w:val="1b1b1b"/>
          <w:sz w:val="24"/>
          <w:lang w:val="pl-PL"/>
        </w:rPr>
        <w:t>art. 1 pkt 34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219</w:t>
      </w:r>
      <w:r>
        <w:rPr>
          <w:rFonts w:ascii="Times New Roman"/>
          <w:b w:val="false"/>
          <w:i w:val="false"/>
          <w:color w:val="000000"/>
          <w:sz w:val="24"/>
          <w:lang w:val="pl-PL"/>
        </w:rPr>
        <w:t xml:space="preserve"> Art. 33 ust. 4 zmieniony przez </w:t>
      </w:r>
      <w:r>
        <w:rPr>
          <w:rFonts w:ascii="Times New Roman"/>
          <w:b w:val="false"/>
          <w:i w:val="false"/>
          <w:color w:val="1b1b1b"/>
          <w:sz w:val="24"/>
          <w:lang w:val="pl-PL"/>
        </w:rPr>
        <w:t>art. 1 pkt 34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220</w:t>
      </w:r>
      <w:r>
        <w:rPr>
          <w:rFonts w:ascii="Times New Roman"/>
          <w:b w:val="false"/>
          <w:i w:val="false"/>
          <w:color w:val="000000"/>
          <w:sz w:val="24"/>
          <w:lang w:val="pl-PL"/>
        </w:rPr>
        <w:t xml:space="preserve"> Art. 33 ust. 4a zmieniony przez </w:t>
      </w:r>
      <w:r>
        <w:rPr>
          <w:rFonts w:ascii="Times New Roman"/>
          <w:b w:val="false"/>
          <w:i w:val="false"/>
          <w:color w:val="1b1b1b"/>
          <w:sz w:val="24"/>
          <w:lang w:val="pl-PL"/>
        </w:rPr>
        <w:t>art. 1 pkt 34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221</w:t>
      </w:r>
      <w:r>
        <w:rPr>
          <w:rFonts w:ascii="Times New Roman"/>
          <w:b w:val="false"/>
          <w:i w:val="false"/>
          <w:color w:val="000000"/>
          <w:sz w:val="24"/>
          <w:lang w:val="pl-PL"/>
        </w:rPr>
        <w:t xml:space="preserve"> Art. 33 ust. 4c dodany przez </w:t>
      </w:r>
      <w:r>
        <w:rPr>
          <w:rFonts w:ascii="Times New Roman"/>
          <w:b w:val="false"/>
          <w:i w:val="false"/>
          <w:color w:val="1b1b1b"/>
          <w:sz w:val="24"/>
          <w:lang w:val="pl-PL"/>
        </w:rPr>
        <w:t>art. 1 pkt 34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222</w:t>
      </w:r>
      <w:r>
        <w:rPr>
          <w:rFonts w:ascii="Times New Roman"/>
          <w:b w:val="false"/>
          <w:i w:val="false"/>
          <w:color w:val="000000"/>
          <w:sz w:val="24"/>
          <w:lang w:val="pl-PL"/>
        </w:rPr>
        <w:t xml:space="preserve"> Art. 33 ust. 5 zmieniony przez </w:t>
      </w:r>
      <w:r>
        <w:rPr>
          <w:rFonts w:ascii="Times New Roman"/>
          <w:b w:val="false"/>
          <w:i w:val="false"/>
          <w:color w:val="1b1b1b"/>
          <w:sz w:val="24"/>
          <w:lang w:val="pl-PL"/>
        </w:rPr>
        <w:t>art. 1 pkt 34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223</w:t>
      </w:r>
      <w:r>
        <w:rPr>
          <w:rFonts w:ascii="Times New Roman"/>
          <w:b w:val="false"/>
          <w:i w:val="false"/>
          <w:color w:val="000000"/>
          <w:sz w:val="24"/>
          <w:lang w:val="pl-PL"/>
        </w:rPr>
        <w:t xml:space="preserve"> Art. 33 ust. 6 zmieniony przez </w:t>
      </w:r>
      <w:r>
        <w:rPr>
          <w:rFonts w:ascii="Times New Roman"/>
          <w:b w:val="false"/>
          <w:i w:val="false"/>
          <w:color w:val="1b1b1b"/>
          <w:sz w:val="24"/>
          <w:lang w:val="pl-PL"/>
        </w:rPr>
        <w:t>art. 1 pkt 34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224</w:t>
      </w:r>
      <w:r>
        <w:rPr>
          <w:rFonts w:ascii="Times New Roman"/>
          <w:b w:val="false"/>
          <w:i w:val="false"/>
          <w:color w:val="000000"/>
          <w:sz w:val="24"/>
          <w:lang w:val="pl-PL"/>
        </w:rPr>
        <w:t xml:space="preserve"> Art. 33 ust. 7 zmieniony przez </w:t>
      </w:r>
      <w:r>
        <w:rPr>
          <w:rFonts w:ascii="Times New Roman"/>
          <w:b w:val="false"/>
          <w:i w:val="false"/>
          <w:color w:val="1b1b1b"/>
          <w:sz w:val="24"/>
          <w:lang w:val="pl-PL"/>
        </w:rPr>
        <w:t>art. 1 pkt 34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225</w:t>
      </w:r>
      <w:r>
        <w:rPr>
          <w:rFonts w:ascii="Times New Roman"/>
          <w:b w:val="false"/>
          <w:i w:val="false"/>
          <w:color w:val="000000"/>
          <w:sz w:val="24"/>
          <w:lang w:val="pl-PL"/>
        </w:rPr>
        <w:t xml:space="preserve"> Art. 33 ust. 8 zmieniony przez </w:t>
      </w:r>
      <w:r>
        <w:rPr>
          <w:rFonts w:ascii="Times New Roman"/>
          <w:b w:val="false"/>
          <w:i w:val="false"/>
          <w:color w:val="1b1b1b"/>
          <w:sz w:val="24"/>
          <w:lang w:val="pl-PL"/>
        </w:rPr>
        <w:t>art. 1 pkt 34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226</w:t>
      </w:r>
      <w:r>
        <w:rPr>
          <w:rFonts w:ascii="Times New Roman"/>
          <w:b w:val="false"/>
          <w:i w:val="false"/>
          <w:color w:val="000000"/>
          <w:sz w:val="24"/>
          <w:lang w:val="pl-PL"/>
        </w:rPr>
        <w:t xml:space="preserve"> Art. 33 ust. 9 dodany przez </w:t>
      </w:r>
      <w:r>
        <w:rPr>
          <w:rFonts w:ascii="Times New Roman"/>
          <w:b w:val="false"/>
          <w:i w:val="false"/>
          <w:color w:val="1b1b1b"/>
          <w:sz w:val="24"/>
          <w:lang w:val="pl-PL"/>
        </w:rPr>
        <w:t>art. 1 pkt 34 lit. h</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227</w:t>
      </w:r>
      <w:r>
        <w:rPr>
          <w:rFonts w:ascii="Times New Roman"/>
          <w:b w:val="false"/>
          <w:i w:val="false"/>
          <w:color w:val="000000"/>
          <w:sz w:val="24"/>
          <w:lang w:val="pl-PL"/>
        </w:rPr>
        <w:t xml:space="preserve"> Art. 34 ust. 1 zmieniony przez </w:t>
      </w:r>
      <w:r>
        <w:rPr>
          <w:rFonts w:ascii="Times New Roman"/>
          <w:b w:val="false"/>
          <w:i w:val="false"/>
          <w:color w:val="1b1b1b"/>
          <w:sz w:val="24"/>
          <w:lang w:val="pl-PL"/>
        </w:rPr>
        <w:t>art. 1 pkt 35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228</w:t>
      </w:r>
      <w:r>
        <w:rPr>
          <w:rFonts w:ascii="Times New Roman"/>
          <w:b w:val="false"/>
          <w:i w:val="false"/>
          <w:color w:val="000000"/>
          <w:sz w:val="24"/>
          <w:lang w:val="pl-PL"/>
        </w:rPr>
        <w:t xml:space="preserve"> Art. 34 ust. 2 zmieniony przez </w:t>
      </w:r>
      <w:r>
        <w:rPr>
          <w:rFonts w:ascii="Times New Roman"/>
          <w:b w:val="false"/>
          <w:i w:val="false"/>
          <w:color w:val="1b1b1b"/>
          <w:sz w:val="24"/>
          <w:lang w:val="pl-PL"/>
        </w:rPr>
        <w:t>art. 1 pkt 35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229</w:t>
      </w:r>
      <w:r>
        <w:rPr>
          <w:rFonts w:ascii="Times New Roman"/>
          <w:b w:val="false"/>
          <w:i w:val="false"/>
          <w:color w:val="000000"/>
          <w:sz w:val="24"/>
          <w:lang w:val="pl-PL"/>
        </w:rPr>
        <w:t xml:space="preserve"> Art. 34 ust. 3 dodany przez </w:t>
      </w:r>
      <w:r>
        <w:rPr>
          <w:rFonts w:ascii="Times New Roman"/>
          <w:b w:val="false"/>
          <w:i w:val="false"/>
          <w:color w:val="1b1b1b"/>
          <w:sz w:val="24"/>
          <w:lang w:val="pl-PL"/>
        </w:rPr>
        <w:t>art. 1 pkt 35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230</w:t>
      </w:r>
      <w:r>
        <w:rPr>
          <w:rFonts w:ascii="Times New Roman"/>
          <w:b w:val="false"/>
          <w:i w:val="false"/>
          <w:color w:val="000000"/>
          <w:sz w:val="24"/>
          <w:lang w:val="pl-PL"/>
        </w:rPr>
        <w:t xml:space="preserve"> Art. 34 ust. 4 dodany przez </w:t>
      </w:r>
      <w:r>
        <w:rPr>
          <w:rFonts w:ascii="Times New Roman"/>
          <w:b w:val="false"/>
          <w:i w:val="false"/>
          <w:color w:val="1b1b1b"/>
          <w:sz w:val="24"/>
          <w:lang w:val="pl-PL"/>
        </w:rPr>
        <w:t>art. 1 pkt 35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231</w:t>
      </w:r>
      <w:r>
        <w:rPr>
          <w:rFonts w:ascii="Times New Roman"/>
          <w:b w:val="false"/>
          <w:i w:val="false"/>
          <w:color w:val="000000"/>
          <w:sz w:val="24"/>
          <w:lang w:val="pl-PL"/>
        </w:rPr>
        <w:t xml:space="preserve"> Art. 35 ust. 1 zmieniony przez </w:t>
      </w:r>
      <w:r>
        <w:rPr>
          <w:rFonts w:ascii="Times New Roman"/>
          <w:b w:val="false"/>
          <w:i w:val="false"/>
          <w:color w:val="1b1b1b"/>
          <w:sz w:val="24"/>
          <w:lang w:val="pl-PL"/>
        </w:rPr>
        <w:t>art. 1 pkt 36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232</w:t>
      </w:r>
      <w:r>
        <w:rPr>
          <w:rFonts w:ascii="Times New Roman"/>
          <w:b w:val="false"/>
          <w:i w:val="false"/>
          <w:color w:val="000000"/>
          <w:sz w:val="24"/>
          <w:lang w:val="pl-PL"/>
        </w:rPr>
        <w:t xml:space="preserve"> Art. 35 ust. 2 pkt 1 lit. a zmieniona przez </w:t>
      </w:r>
      <w:r>
        <w:rPr>
          <w:rFonts w:ascii="Times New Roman"/>
          <w:b w:val="false"/>
          <w:i w:val="false"/>
          <w:color w:val="1b1b1b"/>
          <w:sz w:val="24"/>
          <w:lang w:val="pl-PL"/>
        </w:rPr>
        <w:t>art. 1 pkt 36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233</w:t>
      </w:r>
      <w:r>
        <w:rPr>
          <w:rFonts w:ascii="Times New Roman"/>
          <w:b w:val="false"/>
          <w:i w:val="false"/>
          <w:color w:val="000000"/>
          <w:sz w:val="24"/>
          <w:lang w:val="pl-PL"/>
        </w:rPr>
        <w:t xml:space="preserve"> Art. 35 ust. 2a dodany przez </w:t>
      </w:r>
      <w:r>
        <w:rPr>
          <w:rFonts w:ascii="Times New Roman"/>
          <w:b w:val="false"/>
          <w:i w:val="false"/>
          <w:color w:val="1b1b1b"/>
          <w:sz w:val="24"/>
          <w:lang w:val="pl-PL"/>
        </w:rPr>
        <w:t>art. 1 pkt 36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234</w:t>
      </w:r>
      <w:r>
        <w:rPr>
          <w:rFonts w:ascii="Times New Roman"/>
          <w:b w:val="false"/>
          <w:i w:val="false"/>
          <w:color w:val="000000"/>
          <w:sz w:val="24"/>
          <w:lang w:val="pl-PL"/>
        </w:rPr>
        <w:t xml:space="preserve"> Art. 35 ust. 4 zmieniony przez </w:t>
      </w:r>
      <w:r>
        <w:rPr>
          <w:rFonts w:ascii="Times New Roman"/>
          <w:b w:val="false"/>
          <w:i w:val="false"/>
          <w:color w:val="1b1b1b"/>
          <w:sz w:val="24"/>
          <w:lang w:val="pl-PL"/>
        </w:rPr>
        <w:t>art. 1 pkt 36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235</w:t>
      </w:r>
      <w:r>
        <w:rPr>
          <w:rFonts w:ascii="Times New Roman"/>
          <w:b w:val="false"/>
          <w:i w:val="false"/>
          <w:color w:val="000000"/>
          <w:sz w:val="24"/>
          <w:lang w:val="pl-PL"/>
        </w:rPr>
        <w:t xml:space="preserve"> Art. 35 ust. 5 zmieniony przez </w:t>
      </w:r>
      <w:r>
        <w:rPr>
          <w:rFonts w:ascii="Times New Roman"/>
          <w:b w:val="false"/>
          <w:i w:val="false"/>
          <w:color w:val="1b1b1b"/>
          <w:sz w:val="24"/>
          <w:lang w:val="pl-PL"/>
        </w:rPr>
        <w:t>art. 1 pkt 36 lit. d</w:t>
      </w:r>
      <w:r>
        <w:rPr>
          <w:rFonts w:ascii="Times New Roman"/>
          <w:b w:val="false"/>
          <w:i w:val="false"/>
          <w:color w:val="000000"/>
          <w:sz w:val="24"/>
          <w:lang w:val="pl-PL"/>
        </w:rPr>
        <w:t xml:space="preserve"> i </w:t>
      </w:r>
      <w:r>
        <w:rPr>
          <w:rFonts w:ascii="Times New Roman"/>
          <w:b w:val="false"/>
          <w:i w:val="false"/>
          <w:color w:val="1b1b1b"/>
          <w:sz w:val="24"/>
          <w:lang w:val="pl-PL"/>
        </w:rPr>
        <w:t>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236</w:t>
      </w:r>
      <w:r>
        <w:rPr>
          <w:rFonts w:ascii="Times New Roman"/>
          <w:b w:val="false"/>
          <w:i w:val="false"/>
          <w:color w:val="000000"/>
          <w:sz w:val="24"/>
          <w:lang w:val="pl-PL"/>
        </w:rPr>
        <w:t xml:space="preserve"> Art. 35a dodany przez </w:t>
      </w:r>
      <w:r>
        <w:rPr>
          <w:rFonts w:ascii="Times New Roman"/>
          <w:b w:val="false"/>
          <w:i w:val="false"/>
          <w:color w:val="1b1b1b"/>
          <w:sz w:val="24"/>
          <w:lang w:val="pl-PL"/>
        </w:rPr>
        <w:t>art. 1 pkt 37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237</w:t>
      </w:r>
      <w:r>
        <w:rPr>
          <w:rFonts w:ascii="Times New Roman"/>
          <w:b w:val="false"/>
          <w:i w:val="false"/>
          <w:color w:val="000000"/>
          <w:sz w:val="24"/>
          <w:lang w:val="pl-PL"/>
        </w:rPr>
        <w:t xml:space="preserve"> Art. 36 ust. 2 zmieniony przez </w:t>
      </w:r>
      <w:r>
        <w:rPr>
          <w:rFonts w:ascii="Times New Roman"/>
          <w:b w:val="false"/>
          <w:i w:val="false"/>
          <w:color w:val="1b1b1b"/>
          <w:sz w:val="24"/>
          <w:lang w:val="pl-PL"/>
        </w:rPr>
        <w:t>art. 1 pkt 38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238</w:t>
      </w:r>
      <w:r>
        <w:rPr>
          <w:rFonts w:ascii="Times New Roman"/>
          <w:b w:val="false"/>
          <w:i w:val="false"/>
          <w:color w:val="000000"/>
          <w:sz w:val="24"/>
          <w:lang w:val="pl-PL"/>
        </w:rPr>
        <w:t xml:space="preserve"> Art. 36 ust. 3 zmieniony przez </w:t>
      </w:r>
      <w:r>
        <w:rPr>
          <w:rFonts w:ascii="Times New Roman"/>
          <w:b w:val="false"/>
          <w:i w:val="false"/>
          <w:color w:val="1b1b1b"/>
          <w:sz w:val="24"/>
          <w:lang w:val="pl-PL"/>
        </w:rPr>
        <w:t>art. 1 pkt 38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239</w:t>
      </w:r>
      <w:r>
        <w:rPr>
          <w:rFonts w:ascii="Times New Roman"/>
          <w:b w:val="false"/>
          <w:i w:val="false"/>
          <w:color w:val="000000"/>
          <w:sz w:val="24"/>
          <w:lang w:val="pl-PL"/>
        </w:rPr>
        <w:t xml:space="preserve"> Art. 36 ust. 4 zmieniony przez </w:t>
      </w:r>
      <w:r>
        <w:rPr>
          <w:rFonts w:ascii="Times New Roman"/>
          <w:b w:val="false"/>
          <w:i w:val="false"/>
          <w:color w:val="1b1b1b"/>
          <w:sz w:val="24"/>
          <w:lang w:val="pl-PL"/>
        </w:rPr>
        <w:t>art. 1 pkt 38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240</w:t>
      </w:r>
      <w:r>
        <w:rPr>
          <w:rFonts w:ascii="Times New Roman"/>
          <w:b w:val="false"/>
          <w:i w:val="false"/>
          <w:color w:val="000000"/>
          <w:sz w:val="24"/>
          <w:lang w:val="pl-PL"/>
        </w:rPr>
        <w:t xml:space="preserve"> Art. 36 ust. 6 zmieniony przez </w:t>
      </w:r>
      <w:r>
        <w:rPr>
          <w:rFonts w:ascii="Times New Roman"/>
          <w:b w:val="false"/>
          <w:i w:val="false"/>
          <w:color w:val="1b1b1b"/>
          <w:sz w:val="24"/>
          <w:lang w:val="pl-PL"/>
        </w:rPr>
        <w:t>art. 1 pkt 38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241</w:t>
      </w:r>
      <w:r>
        <w:rPr>
          <w:rFonts w:ascii="Times New Roman"/>
          <w:b w:val="false"/>
          <w:i w:val="false"/>
          <w:color w:val="000000"/>
          <w:sz w:val="24"/>
          <w:lang w:val="pl-PL"/>
        </w:rPr>
        <w:t xml:space="preserve"> Rozdział 6a dodany przez </w:t>
      </w:r>
      <w:r>
        <w:rPr>
          <w:rFonts w:ascii="Times New Roman"/>
          <w:b w:val="false"/>
          <w:i w:val="false"/>
          <w:color w:val="1b1b1b"/>
          <w:sz w:val="24"/>
          <w:lang w:val="pl-PL"/>
        </w:rPr>
        <w:t>art. 1 pkt 39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242</w:t>
      </w:r>
      <w:r>
        <w:rPr>
          <w:rFonts w:ascii="Times New Roman"/>
          <w:b w:val="false"/>
          <w:i w:val="false"/>
          <w:color w:val="000000"/>
          <w:sz w:val="24"/>
          <w:lang w:val="pl-PL"/>
        </w:rPr>
        <w:t xml:space="preserve"> Art. 37 ust. 1 zmieniony przez </w:t>
      </w:r>
      <w:r>
        <w:rPr>
          <w:rFonts w:ascii="Times New Roman"/>
          <w:b w:val="false"/>
          <w:i w:val="false"/>
          <w:color w:val="1b1b1b"/>
          <w:sz w:val="24"/>
          <w:lang w:val="pl-PL"/>
        </w:rPr>
        <w:t>art. 1 pkt 40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243</w:t>
      </w:r>
      <w:r>
        <w:rPr>
          <w:rFonts w:ascii="Times New Roman"/>
          <w:b w:val="false"/>
          <w:i w:val="false"/>
          <w:color w:val="000000"/>
          <w:sz w:val="24"/>
          <w:lang w:val="pl-PL"/>
        </w:rPr>
        <w:t xml:space="preserve"> Art. 37 ust. 2 zmieniony przez </w:t>
      </w:r>
      <w:r>
        <w:rPr>
          <w:rFonts w:ascii="Times New Roman"/>
          <w:b w:val="false"/>
          <w:i w:val="false"/>
          <w:color w:val="1b1b1b"/>
          <w:sz w:val="24"/>
          <w:lang w:val="pl-PL"/>
        </w:rPr>
        <w:t>art. 1 pkt 40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244</w:t>
      </w:r>
      <w:r>
        <w:rPr>
          <w:rFonts w:ascii="Times New Roman"/>
          <w:b w:val="false"/>
          <w:i w:val="false"/>
          <w:color w:val="000000"/>
          <w:sz w:val="24"/>
          <w:lang w:val="pl-PL"/>
        </w:rPr>
        <w:t xml:space="preserve"> Art. 37 ust. 3 uchylony przez </w:t>
      </w:r>
      <w:r>
        <w:rPr>
          <w:rFonts w:ascii="Times New Roman"/>
          <w:b w:val="false"/>
          <w:i w:val="false"/>
          <w:color w:val="1b1b1b"/>
          <w:sz w:val="24"/>
          <w:lang w:val="pl-PL"/>
        </w:rPr>
        <w:t>art. 1 pkt 40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245</w:t>
      </w:r>
      <w:r>
        <w:rPr>
          <w:rFonts w:ascii="Times New Roman"/>
          <w:b w:val="false"/>
          <w:i w:val="false"/>
          <w:color w:val="000000"/>
          <w:sz w:val="24"/>
          <w:lang w:val="pl-PL"/>
        </w:rPr>
        <w:t xml:space="preserve"> Art. 37 ust. 4 zmieniony przez </w:t>
      </w:r>
      <w:r>
        <w:rPr>
          <w:rFonts w:ascii="Times New Roman"/>
          <w:b w:val="false"/>
          <w:i w:val="false"/>
          <w:color w:val="1b1b1b"/>
          <w:sz w:val="24"/>
          <w:lang w:val="pl-PL"/>
        </w:rPr>
        <w:t>art. 1 pkt 40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246</w:t>
      </w:r>
      <w:r>
        <w:rPr>
          <w:rFonts w:ascii="Times New Roman"/>
          <w:b w:val="false"/>
          <w:i w:val="false"/>
          <w:color w:val="000000"/>
          <w:sz w:val="24"/>
          <w:lang w:val="pl-PL"/>
        </w:rPr>
        <w:t xml:space="preserve"> Art. 39 ust. 1 zmieniony przez </w:t>
      </w:r>
      <w:r>
        <w:rPr>
          <w:rFonts w:ascii="Times New Roman"/>
          <w:b w:val="false"/>
          <w:i w:val="false"/>
          <w:color w:val="1b1b1b"/>
          <w:sz w:val="24"/>
          <w:lang w:val="pl-PL"/>
        </w:rPr>
        <w:t>art. 1 pkt 41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247</w:t>
      </w:r>
      <w:r>
        <w:rPr>
          <w:rFonts w:ascii="Times New Roman"/>
          <w:b w:val="false"/>
          <w:i w:val="false"/>
          <w:color w:val="000000"/>
          <w:sz w:val="24"/>
          <w:lang w:val="pl-PL"/>
        </w:rPr>
        <w:t xml:space="preserve"> Art. 39 ust. 2 zmieniony przez </w:t>
      </w:r>
      <w:r>
        <w:rPr>
          <w:rFonts w:ascii="Times New Roman"/>
          <w:b w:val="false"/>
          <w:i w:val="false"/>
          <w:color w:val="1b1b1b"/>
          <w:sz w:val="24"/>
          <w:lang w:val="pl-PL"/>
        </w:rPr>
        <w:t>art. 1 pkt 41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248</w:t>
      </w:r>
      <w:r>
        <w:rPr>
          <w:rFonts w:ascii="Times New Roman"/>
          <w:b w:val="false"/>
          <w:i w:val="false"/>
          <w:color w:val="000000"/>
          <w:sz w:val="24"/>
          <w:lang w:val="pl-PL"/>
        </w:rPr>
        <w:t xml:space="preserve"> Art. 39 ust. 3 zdanie wstępne zmienione przez </w:t>
      </w:r>
      <w:r>
        <w:rPr>
          <w:rFonts w:ascii="Times New Roman"/>
          <w:b w:val="false"/>
          <w:i w:val="false"/>
          <w:color w:val="1b1b1b"/>
          <w:sz w:val="24"/>
          <w:lang w:val="pl-PL"/>
        </w:rPr>
        <w:t>art. 1 pkt 41 lit. c</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249</w:t>
      </w:r>
      <w:r>
        <w:rPr>
          <w:rFonts w:ascii="Times New Roman"/>
          <w:b w:val="false"/>
          <w:i w:val="false"/>
          <w:color w:val="000000"/>
          <w:sz w:val="24"/>
          <w:lang w:val="pl-PL"/>
        </w:rPr>
        <w:t xml:space="preserve"> Art. 39 ust. 3 pkt 3 zmieniony przez </w:t>
      </w:r>
      <w:r>
        <w:rPr>
          <w:rFonts w:ascii="Times New Roman"/>
          <w:b w:val="false"/>
          <w:i w:val="false"/>
          <w:color w:val="1b1b1b"/>
          <w:sz w:val="24"/>
          <w:lang w:val="pl-PL"/>
        </w:rPr>
        <w:t>art. 1 pkt 41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250</w:t>
      </w:r>
      <w:r>
        <w:rPr>
          <w:rFonts w:ascii="Times New Roman"/>
          <w:b w:val="false"/>
          <w:i w:val="false"/>
          <w:color w:val="000000"/>
          <w:sz w:val="24"/>
          <w:lang w:val="pl-PL"/>
        </w:rPr>
        <w:t xml:space="preserve"> Art. 39 ust. 3 pkt 4 zmieniony przez </w:t>
      </w:r>
      <w:r>
        <w:rPr>
          <w:rFonts w:ascii="Times New Roman"/>
          <w:b w:val="false"/>
          <w:i w:val="false"/>
          <w:color w:val="1b1b1b"/>
          <w:sz w:val="24"/>
          <w:lang w:val="pl-PL"/>
        </w:rPr>
        <w:t>art. 1 pkt 41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251</w:t>
      </w:r>
      <w:r>
        <w:rPr>
          <w:rFonts w:ascii="Times New Roman"/>
          <w:b w:val="false"/>
          <w:i w:val="false"/>
          <w:color w:val="000000"/>
          <w:sz w:val="24"/>
          <w:lang w:val="pl-PL"/>
        </w:rPr>
        <w:t xml:space="preserve"> Art. 39 ust. 4 zdanie wstępne zmienione przez </w:t>
      </w:r>
      <w:r>
        <w:rPr>
          <w:rFonts w:ascii="Times New Roman"/>
          <w:b w:val="false"/>
          <w:i w:val="false"/>
          <w:color w:val="1b1b1b"/>
          <w:sz w:val="24"/>
          <w:lang w:val="pl-PL"/>
        </w:rPr>
        <w:t>art. 1 pkt 41 lit. d</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252</w:t>
      </w:r>
      <w:r>
        <w:rPr>
          <w:rFonts w:ascii="Times New Roman"/>
          <w:b w:val="false"/>
          <w:i w:val="false"/>
          <w:color w:val="000000"/>
          <w:sz w:val="24"/>
          <w:lang w:val="pl-PL"/>
        </w:rPr>
        <w:t xml:space="preserve"> Art. 39 ust. 4 pkt 1 zmieniony przez </w:t>
      </w:r>
      <w:r>
        <w:rPr>
          <w:rFonts w:ascii="Times New Roman"/>
          <w:b w:val="false"/>
          <w:i w:val="false"/>
          <w:color w:val="1b1b1b"/>
          <w:sz w:val="24"/>
          <w:lang w:val="pl-PL"/>
        </w:rPr>
        <w:t>art. 1 pkt 41 lit. d</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253</w:t>
      </w:r>
      <w:r>
        <w:rPr>
          <w:rFonts w:ascii="Times New Roman"/>
          <w:b w:val="false"/>
          <w:i w:val="false"/>
          <w:color w:val="000000"/>
          <w:sz w:val="24"/>
          <w:lang w:val="pl-PL"/>
        </w:rPr>
        <w:t xml:space="preserve"> Art. 39 ust. 4 pkt 2 uchylony przez </w:t>
      </w:r>
      <w:r>
        <w:rPr>
          <w:rFonts w:ascii="Times New Roman"/>
          <w:b w:val="false"/>
          <w:i w:val="false"/>
          <w:color w:val="1b1b1b"/>
          <w:sz w:val="24"/>
          <w:lang w:val="pl-PL"/>
        </w:rPr>
        <w:t>art. 1 pkt 41 lit. d</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254</w:t>
      </w:r>
      <w:r>
        <w:rPr>
          <w:rFonts w:ascii="Times New Roman"/>
          <w:b w:val="false"/>
          <w:i w:val="false"/>
          <w:color w:val="000000"/>
          <w:sz w:val="24"/>
          <w:lang w:val="pl-PL"/>
        </w:rPr>
        <w:t xml:space="preserve"> Art. 39 ust. 4a dodany przez </w:t>
      </w:r>
      <w:r>
        <w:rPr>
          <w:rFonts w:ascii="Times New Roman"/>
          <w:b w:val="false"/>
          <w:i w:val="false"/>
          <w:color w:val="1b1b1b"/>
          <w:sz w:val="24"/>
          <w:lang w:val="pl-PL"/>
        </w:rPr>
        <w:t>art. 1 pkt 41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255</w:t>
      </w:r>
      <w:r>
        <w:rPr>
          <w:rFonts w:ascii="Times New Roman"/>
          <w:b w:val="false"/>
          <w:i w:val="false"/>
          <w:color w:val="000000"/>
          <w:sz w:val="24"/>
          <w:lang w:val="pl-PL"/>
        </w:rPr>
        <w:t xml:space="preserve"> Art. 39 ust. 5 zmieniony przez </w:t>
      </w:r>
      <w:r>
        <w:rPr>
          <w:rFonts w:ascii="Times New Roman"/>
          <w:b w:val="false"/>
          <w:i w:val="false"/>
          <w:color w:val="1b1b1b"/>
          <w:sz w:val="24"/>
          <w:lang w:val="pl-PL"/>
        </w:rPr>
        <w:t>art. 1 pkt 41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256</w:t>
      </w:r>
      <w:r>
        <w:rPr>
          <w:rFonts w:ascii="Times New Roman"/>
          <w:b w:val="false"/>
          <w:i w:val="false"/>
          <w:color w:val="000000"/>
          <w:sz w:val="24"/>
          <w:lang w:val="pl-PL"/>
        </w:rPr>
        <w:t xml:space="preserve"> Art. 39 ust. 6 zmieniony przez </w:t>
      </w:r>
      <w:r>
        <w:rPr>
          <w:rFonts w:ascii="Times New Roman"/>
          <w:b w:val="false"/>
          <w:i w:val="false"/>
          <w:color w:val="1b1b1b"/>
          <w:sz w:val="24"/>
          <w:lang w:val="pl-PL"/>
        </w:rPr>
        <w:t>art. 1 pkt 41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257</w:t>
      </w:r>
      <w:r>
        <w:rPr>
          <w:rFonts w:ascii="Times New Roman"/>
          <w:b w:val="false"/>
          <w:i w:val="false"/>
          <w:color w:val="000000"/>
          <w:sz w:val="24"/>
          <w:lang w:val="pl-PL"/>
        </w:rPr>
        <w:t xml:space="preserve"> Art. 39 ust. 6a dodany przez </w:t>
      </w:r>
      <w:r>
        <w:rPr>
          <w:rFonts w:ascii="Times New Roman"/>
          <w:b w:val="false"/>
          <w:i w:val="false"/>
          <w:color w:val="1b1b1b"/>
          <w:sz w:val="24"/>
          <w:lang w:val="pl-PL"/>
        </w:rPr>
        <w:t>art. 1 pkt 41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258</w:t>
      </w:r>
      <w:r>
        <w:rPr>
          <w:rFonts w:ascii="Times New Roman"/>
          <w:b w:val="false"/>
          <w:i w:val="false"/>
          <w:color w:val="000000"/>
          <w:sz w:val="24"/>
          <w:lang w:val="pl-PL"/>
        </w:rPr>
        <w:t xml:space="preserve"> Art. 39 ust. 6b dodany przez </w:t>
      </w:r>
      <w:r>
        <w:rPr>
          <w:rFonts w:ascii="Times New Roman"/>
          <w:b w:val="false"/>
          <w:i w:val="false"/>
          <w:color w:val="1b1b1b"/>
          <w:sz w:val="24"/>
          <w:lang w:val="pl-PL"/>
        </w:rPr>
        <w:t>art. 1 pkt 41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259</w:t>
      </w:r>
      <w:r>
        <w:rPr>
          <w:rFonts w:ascii="Times New Roman"/>
          <w:b w:val="false"/>
          <w:i w:val="false"/>
          <w:color w:val="000000"/>
          <w:sz w:val="24"/>
          <w:lang w:val="pl-PL"/>
        </w:rPr>
        <w:t xml:space="preserve"> Art. 39 ust. 7 zmieniony przez </w:t>
      </w:r>
      <w:r>
        <w:rPr>
          <w:rFonts w:ascii="Times New Roman"/>
          <w:b w:val="false"/>
          <w:i w:val="false"/>
          <w:color w:val="1b1b1b"/>
          <w:sz w:val="24"/>
          <w:lang w:val="pl-PL"/>
        </w:rPr>
        <w:t>art. 1 pkt 41 lit. h</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260</w:t>
      </w:r>
      <w:r>
        <w:rPr>
          <w:rFonts w:ascii="Times New Roman"/>
          <w:b w:val="false"/>
          <w:i w:val="false"/>
          <w:color w:val="000000"/>
          <w:sz w:val="24"/>
          <w:lang w:val="pl-PL"/>
        </w:rPr>
        <w:t xml:space="preserve"> Art. 39 ust. 8 zmieniony przez </w:t>
      </w:r>
      <w:r>
        <w:rPr>
          <w:rFonts w:ascii="Times New Roman"/>
          <w:b w:val="false"/>
          <w:i w:val="false"/>
          <w:color w:val="1b1b1b"/>
          <w:sz w:val="24"/>
          <w:lang w:val="pl-PL"/>
        </w:rPr>
        <w:t>art. 1 pkt 41 lit. i</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261</w:t>
      </w:r>
      <w:r>
        <w:rPr>
          <w:rFonts w:ascii="Times New Roman"/>
          <w:b w:val="false"/>
          <w:i w:val="false"/>
          <w:color w:val="000000"/>
          <w:sz w:val="24"/>
          <w:lang w:val="pl-PL"/>
        </w:rPr>
        <w:t xml:space="preserve"> Art. 39 ust. 9 zdanie wstępne zmienione przez </w:t>
      </w:r>
      <w:r>
        <w:rPr>
          <w:rFonts w:ascii="Times New Roman"/>
          <w:b w:val="false"/>
          <w:i w:val="false"/>
          <w:color w:val="1b1b1b"/>
          <w:sz w:val="24"/>
          <w:lang w:val="pl-PL"/>
        </w:rPr>
        <w:t>art. 1 pkt 41 lit. j</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262</w:t>
      </w:r>
      <w:r>
        <w:rPr>
          <w:rFonts w:ascii="Times New Roman"/>
          <w:b w:val="false"/>
          <w:i w:val="false"/>
          <w:color w:val="000000"/>
          <w:sz w:val="24"/>
          <w:lang w:val="pl-PL"/>
        </w:rPr>
        <w:t xml:space="preserve"> Art. 39 ust. 10 dodany przez </w:t>
      </w:r>
      <w:r>
        <w:rPr>
          <w:rFonts w:ascii="Times New Roman"/>
          <w:b w:val="false"/>
          <w:i w:val="false"/>
          <w:color w:val="1b1b1b"/>
          <w:sz w:val="24"/>
          <w:lang w:val="pl-PL"/>
        </w:rPr>
        <w:t>art. 1 pkt 41 lit. k</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263</w:t>
      </w:r>
      <w:r>
        <w:rPr>
          <w:rFonts w:ascii="Times New Roman"/>
          <w:b w:val="false"/>
          <w:i w:val="false"/>
          <w:color w:val="000000"/>
          <w:sz w:val="24"/>
          <w:lang w:val="pl-PL"/>
        </w:rPr>
        <w:t xml:space="preserve"> Art. 39 ust. 11 dodany przez </w:t>
      </w:r>
      <w:r>
        <w:rPr>
          <w:rFonts w:ascii="Times New Roman"/>
          <w:b w:val="false"/>
          <w:i w:val="false"/>
          <w:color w:val="1b1b1b"/>
          <w:sz w:val="24"/>
          <w:lang w:val="pl-PL"/>
        </w:rPr>
        <w:t>art. 1 pkt 41 lit. k</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264</w:t>
      </w:r>
      <w:r>
        <w:rPr>
          <w:rFonts w:ascii="Times New Roman"/>
          <w:b w:val="false"/>
          <w:i w:val="false"/>
          <w:color w:val="000000"/>
          <w:sz w:val="24"/>
          <w:lang w:val="pl-PL"/>
        </w:rPr>
        <w:t xml:space="preserve"> Art. 40 ust. 1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265</w:t>
      </w:r>
      <w:r>
        <w:rPr>
          <w:rFonts w:ascii="Times New Roman"/>
          <w:b w:val="false"/>
          <w:i w:val="false"/>
          <w:color w:val="000000"/>
          <w:sz w:val="24"/>
          <w:lang w:val="pl-PL"/>
        </w:rPr>
        <w:t xml:space="preserve"> Art. 40 ust. 2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266</w:t>
      </w:r>
      <w:r>
        <w:rPr>
          <w:rFonts w:ascii="Times New Roman"/>
          <w:b w:val="false"/>
          <w:i w:val="false"/>
          <w:color w:val="000000"/>
          <w:sz w:val="24"/>
          <w:lang w:val="pl-PL"/>
        </w:rPr>
        <w:t xml:space="preserve"> Art. 40 ust. 3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267</w:t>
      </w:r>
      <w:r>
        <w:rPr>
          <w:rFonts w:ascii="Times New Roman"/>
          <w:b w:val="false"/>
          <w:i w:val="false"/>
          <w:color w:val="000000"/>
          <w:sz w:val="24"/>
          <w:lang w:val="pl-PL"/>
        </w:rPr>
        <w:t xml:space="preserve"> Art. 40a dodany przez </w:t>
      </w:r>
      <w:r>
        <w:rPr>
          <w:rFonts w:ascii="Times New Roman"/>
          <w:b w:val="false"/>
          <w:i w:val="false"/>
          <w:color w:val="1b1b1b"/>
          <w:sz w:val="24"/>
          <w:lang w:val="pl-PL"/>
        </w:rPr>
        <w:t>art. 1 pkt 43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268</w:t>
      </w:r>
      <w:r>
        <w:rPr>
          <w:rFonts w:ascii="Times New Roman"/>
          <w:b w:val="false"/>
          <w:i w:val="false"/>
          <w:color w:val="000000"/>
          <w:sz w:val="24"/>
          <w:lang w:val="pl-PL"/>
        </w:rPr>
        <w:t xml:space="preserve"> Art. 41 pkt 1a dodany przez </w:t>
      </w:r>
      <w:r>
        <w:rPr>
          <w:rFonts w:ascii="Times New Roman"/>
          <w:b w:val="false"/>
          <w:i w:val="false"/>
          <w:color w:val="1b1b1b"/>
          <w:sz w:val="24"/>
          <w:lang w:val="pl-PL"/>
        </w:rPr>
        <w:t>art. 1 pkt 44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269</w:t>
      </w:r>
      <w:r>
        <w:rPr>
          <w:rFonts w:ascii="Times New Roman"/>
          <w:b w:val="false"/>
          <w:i w:val="false"/>
          <w:color w:val="000000"/>
          <w:sz w:val="24"/>
          <w:lang w:val="pl-PL"/>
        </w:rPr>
        <w:t xml:space="preserve"> Art. 41 pkt 5 zmieniony przez </w:t>
      </w:r>
      <w:r>
        <w:rPr>
          <w:rFonts w:ascii="Times New Roman"/>
          <w:b w:val="false"/>
          <w:i w:val="false"/>
          <w:color w:val="1b1b1b"/>
          <w:sz w:val="24"/>
          <w:lang w:val="pl-PL"/>
        </w:rPr>
        <w:t>art. 1 pkt 44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270</w:t>
      </w:r>
      <w:r>
        <w:rPr>
          <w:rFonts w:ascii="Times New Roman"/>
          <w:b w:val="false"/>
          <w:i w:val="false"/>
          <w:color w:val="000000"/>
          <w:sz w:val="24"/>
          <w:lang w:val="pl-PL"/>
        </w:rPr>
        <w:t xml:space="preserve"> Art. 41 pkt 6 zmieniony przez </w:t>
      </w:r>
      <w:r>
        <w:rPr>
          <w:rFonts w:ascii="Times New Roman"/>
          <w:b w:val="false"/>
          <w:i w:val="false"/>
          <w:color w:val="1b1b1b"/>
          <w:sz w:val="24"/>
          <w:lang w:val="pl-PL"/>
        </w:rPr>
        <w:t>art. 1 pkt 44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271</w:t>
      </w:r>
      <w:r>
        <w:rPr>
          <w:rFonts w:ascii="Times New Roman"/>
          <w:b w:val="false"/>
          <w:i w:val="false"/>
          <w:color w:val="000000"/>
          <w:sz w:val="24"/>
          <w:lang w:val="pl-PL"/>
        </w:rPr>
        <w:t xml:space="preserve"> Art. 41 pkt 8 zmieniony przez </w:t>
      </w:r>
      <w:r>
        <w:rPr>
          <w:rFonts w:ascii="Times New Roman"/>
          <w:b w:val="false"/>
          <w:i w:val="false"/>
          <w:color w:val="1b1b1b"/>
          <w:sz w:val="24"/>
          <w:lang w:val="pl-PL"/>
        </w:rPr>
        <w:t>art. 1 pkt 44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272</w:t>
      </w:r>
      <w:r>
        <w:rPr>
          <w:rFonts w:ascii="Times New Roman"/>
          <w:b w:val="false"/>
          <w:i w:val="false"/>
          <w:color w:val="000000"/>
          <w:sz w:val="24"/>
          <w:lang w:val="pl-PL"/>
        </w:rPr>
        <w:t xml:space="preserve"> Art. 41 pkt 8a dodany przez </w:t>
      </w:r>
      <w:r>
        <w:rPr>
          <w:rFonts w:ascii="Times New Roman"/>
          <w:b w:val="false"/>
          <w:i w:val="false"/>
          <w:color w:val="1b1b1b"/>
          <w:sz w:val="24"/>
          <w:lang w:val="pl-PL"/>
        </w:rPr>
        <w:t>art. 1 pkt 44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273</w:t>
      </w:r>
      <w:r>
        <w:rPr>
          <w:rFonts w:ascii="Times New Roman"/>
          <w:b w:val="false"/>
          <w:i w:val="false"/>
          <w:color w:val="000000"/>
          <w:sz w:val="24"/>
          <w:lang w:val="pl-PL"/>
        </w:rPr>
        <w:t xml:space="preserve"> Art. 41 pkt 9 zmieniony przez </w:t>
      </w:r>
      <w:r>
        <w:rPr>
          <w:rFonts w:ascii="Times New Roman"/>
          <w:b w:val="false"/>
          <w:i w:val="false"/>
          <w:color w:val="1b1b1b"/>
          <w:sz w:val="24"/>
          <w:lang w:val="pl-PL"/>
        </w:rPr>
        <w:t>art. 1 pkt 44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274</w:t>
      </w:r>
      <w:r>
        <w:rPr>
          <w:rFonts w:ascii="Times New Roman"/>
          <w:b w:val="false"/>
          <w:i w:val="false"/>
          <w:color w:val="000000"/>
          <w:sz w:val="24"/>
          <w:lang w:val="pl-PL"/>
        </w:rPr>
        <w:t xml:space="preserve"> Art. 41 pkt 9a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275</w:t>
      </w:r>
      <w:r>
        <w:rPr>
          <w:rFonts w:ascii="Times New Roman"/>
          <w:b w:val="false"/>
          <w:i w:val="false"/>
          <w:color w:val="000000"/>
          <w:sz w:val="24"/>
          <w:lang w:val="pl-PL"/>
        </w:rPr>
        <w:t xml:space="preserve"> Art. 41 pkt 9b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276</w:t>
      </w:r>
      <w:r>
        <w:rPr>
          <w:rFonts w:ascii="Times New Roman"/>
          <w:b w:val="false"/>
          <w:i w:val="false"/>
          <w:color w:val="000000"/>
          <w:sz w:val="24"/>
          <w:lang w:val="pl-PL"/>
        </w:rPr>
        <w:t xml:space="preserve"> Art. 41 pkt 9c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277</w:t>
      </w:r>
      <w:r>
        <w:rPr>
          <w:rFonts w:ascii="Times New Roman"/>
          <w:b w:val="false"/>
          <w:i w:val="false"/>
          <w:color w:val="000000"/>
          <w:sz w:val="24"/>
          <w:lang w:val="pl-PL"/>
        </w:rPr>
        <w:t xml:space="preserve"> Art. 41 pkt 9d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278</w:t>
      </w:r>
      <w:r>
        <w:rPr>
          <w:rFonts w:ascii="Times New Roman"/>
          <w:b w:val="false"/>
          <w:i w:val="false"/>
          <w:color w:val="000000"/>
          <w:sz w:val="24"/>
          <w:lang w:val="pl-PL"/>
        </w:rPr>
        <w:t xml:space="preserve"> Art. 41 pkt 9e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279</w:t>
      </w:r>
      <w:r>
        <w:rPr>
          <w:rFonts w:ascii="Times New Roman"/>
          <w:b w:val="false"/>
          <w:i w:val="false"/>
          <w:color w:val="000000"/>
          <w:sz w:val="24"/>
          <w:lang w:val="pl-PL"/>
        </w:rPr>
        <w:t xml:space="preserve"> Art. 41 pkt 9f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280</w:t>
      </w:r>
      <w:r>
        <w:rPr>
          <w:rFonts w:ascii="Times New Roman"/>
          <w:b w:val="false"/>
          <w:i w:val="false"/>
          <w:color w:val="000000"/>
          <w:sz w:val="24"/>
          <w:lang w:val="pl-PL"/>
        </w:rPr>
        <w:t xml:space="preserve"> Art. 41 pkt 9g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281</w:t>
      </w:r>
      <w:r>
        <w:rPr>
          <w:rFonts w:ascii="Times New Roman"/>
          <w:b w:val="false"/>
          <w:i w:val="false"/>
          <w:color w:val="000000"/>
          <w:sz w:val="24"/>
          <w:lang w:val="pl-PL"/>
        </w:rPr>
        <w:t xml:space="preserve"> Art. 41 pkt 9h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282</w:t>
      </w:r>
      <w:r>
        <w:rPr>
          <w:rFonts w:ascii="Times New Roman"/>
          <w:b w:val="false"/>
          <w:i w:val="false"/>
          <w:color w:val="000000"/>
          <w:sz w:val="24"/>
          <w:lang w:val="pl-PL"/>
        </w:rPr>
        <w:t xml:space="preserve"> Art. 41 pkt 9i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283</w:t>
      </w:r>
      <w:r>
        <w:rPr>
          <w:rFonts w:ascii="Times New Roman"/>
          <w:b w:val="false"/>
          <w:i w:val="false"/>
          <w:color w:val="000000"/>
          <w:sz w:val="24"/>
          <w:lang w:val="pl-PL"/>
        </w:rPr>
        <w:t xml:space="preserve"> Art. 41 pkt 9j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284</w:t>
      </w:r>
      <w:r>
        <w:rPr>
          <w:rFonts w:ascii="Times New Roman"/>
          <w:b w:val="false"/>
          <w:i w:val="false"/>
          <w:color w:val="000000"/>
          <w:sz w:val="24"/>
          <w:lang w:val="pl-PL"/>
        </w:rPr>
        <w:t xml:space="preserve"> Art. 41 pkt 9k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285</w:t>
      </w:r>
      <w:r>
        <w:rPr>
          <w:rFonts w:ascii="Times New Roman"/>
          <w:b w:val="false"/>
          <w:i w:val="false"/>
          <w:color w:val="000000"/>
          <w:sz w:val="24"/>
          <w:lang w:val="pl-PL"/>
        </w:rPr>
        <w:t xml:space="preserve"> Art. 41 pkt 9l dodany przez </w:t>
      </w:r>
      <w:r>
        <w:rPr>
          <w:rFonts w:ascii="Times New Roman"/>
          <w:b w:val="false"/>
          <w:i w:val="false"/>
          <w:color w:val="1b1b1b"/>
          <w:sz w:val="24"/>
          <w:lang w:val="pl-PL"/>
        </w:rPr>
        <w:t>art. 1 pkt 44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286</w:t>
      </w:r>
      <w:r>
        <w:rPr>
          <w:rFonts w:ascii="Times New Roman"/>
          <w:b w:val="false"/>
          <w:i w:val="false"/>
          <w:color w:val="000000"/>
          <w:sz w:val="24"/>
          <w:lang w:val="pl-PL"/>
        </w:rPr>
        <w:t xml:space="preserve"> Art. 41 pkt 10 uchylony przez </w:t>
      </w:r>
      <w:r>
        <w:rPr>
          <w:rFonts w:ascii="Times New Roman"/>
          <w:b w:val="false"/>
          <w:i w:val="false"/>
          <w:color w:val="1b1b1b"/>
          <w:sz w:val="24"/>
          <w:lang w:val="pl-PL"/>
        </w:rPr>
        <w:t>art. 1 pkt 44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287</w:t>
      </w:r>
      <w:r>
        <w:rPr>
          <w:rFonts w:ascii="Times New Roman"/>
          <w:b w:val="false"/>
          <w:i w:val="false"/>
          <w:color w:val="000000"/>
          <w:sz w:val="24"/>
          <w:lang w:val="pl-PL"/>
        </w:rPr>
        <w:t xml:space="preserve"> Art. 41 pkt 11 uchylony przez </w:t>
      </w:r>
      <w:r>
        <w:rPr>
          <w:rFonts w:ascii="Times New Roman"/>
          <w:b w:val="false"/>
          <w:i w:val="false"/>
          <w:color w:val="1b1b1b"/>
          <w:sz w:val="24"/>
          <w:lang w:val="pl-PL"/>
        </w:rPr>
        <w:t>art. 1 pkt 44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288</w:t>
      </w:r>
      <w:r>
        <w:rPr>
          <w:rFonts w:ascii="Times New Roman"/>
          <w:b w:val="false"/>
          <w:i w:val="false"/>
          <w:color w:val="000000"/>
          <w:sz w:val="24"/>
          <w:lang w:val="pl-PL"/>
        </w:rPr>
        <w:t xml:space="preserve"> Art. 41a dodany przez </w:t>
      </w:r>
      <w:r>
        <w:rPr>
          <w:rFonts w:ascii="Times New Roman"/>
          <w:b w:val="false"/>
          <w:i w:val="false"/>
          <w:color w:val="1b1b1b"/>
          <w:sz w:val="24"/>
          <w:lang w:val="pl-PL"/>
        </w:rPr>
        <w:t>art. 1 pkt 45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289</w:t>
      </w:r>
      <w:r>
        <w:rPr>
          <w:rFonts w:ascii="Times New Roman"/>
          <w:b w:val="false"/>
          <w:i w:val="false"/>
          <w:color w:val="000000"/>
          <w:sz w:val="24"/>
          <w:lang w:val="pl-PL"/>
        </w:rPr>
        <w:t xml:space="preserve"> Art. 42 ust. 1 pkt 1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290</w:t>
      </w:r>
      <w:r>
        <w:rPr>
          <w:rFonts w:ascii="Times New Roman"/>
          <w:b w:val="false"/>
          <w:i w:val="false"/>
          <w:color w:val="000000"/>
          <w:sz w:val="24"/>
          <w:lang w:val="pl-PL"/>
        </w:rPr>
        <w:t xml:space="preserve"> Art. 42 ust. 1 pkt 2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291</w:t>
      </w:r>
      <w:r>
        <w:rPr>
          <w:rFonts w:ascii="Times New Roman"/>
          <w:b w:val="false"/>
          <w:i w:val="false"/>
          <w:color w:val="000000"/>
          <w:sz w:val="24"/>
          <w:lang w:val="pl-PL"/>
        </w:rPr>
        <w:t xml:space="preserve"> Art. 42 ust. 1 pkt 3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292</w:t>
      </w:r>
      <w:r>
        <w:rPr>
          <w:rFonts w:ascii="Times New Roman"/>
          <w:b w:val="false"/>
          <w:i w:val="false"/>
          <w:color w:val="000000"/>
          <w:sz w:val="24"/>
          <w:lang w:val="pl-PL"/>
        </w:rPr>
        <w:t xml:space="preserve"> Art. 42 ust. 1 pkt 4 uchylony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293</w:t>
      </w:r>
      <w:r>
        <w:rPr>
          <w:rFonts w:ascii="Times New Roman"/>
          <w:b w:val="false"/>
          <w:i w:val="false"/>
          <w:color w:val="000000"/>
          <w:sz w:val="24"/>
          <w:lang w:val="pl-PL"/>
        </w:rPr>
        <w:t xml:space="preserve"> Art. 42 ust. 1 pkt 5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294</w:t>
      </w:r>
      <w:r>
        <w:rPr>
          <w:rFonts w:ascii="Times New Roman"/>
          <w:b w:val="false"/>
          <w:i w:val="false"/>
          <w:color w:val="000000"/>
          <w:sz w:val="24"/>
          <w:lang w:val="pl-PL"/>
        </w:rPr>
        <w:t xml:space="preserve"> Art. 42 ust. 1 pkt 6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295</w:t>
      </w:r>
      <w:r>
        <w:rPr>
          <w:rFonts w:ascii="Times New Roman"/>
          <w:b w:val="false"/>
          <w:i w:val="false"/>
          <w:color w:val="000000"/>
          <w:sz w:val="24"/>
          <w:lang w:val="pl-PL"/>
        </w:rPr>
        <w:t xml:space="preserve"> Art. 42 ust. 1 pkt 7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296</w:t>
      </w:r>
      <w:r>
        <w:rPr>
          <w:rFonts w:ascii="Times New Roman"/>
          <w:b w:val="false"/>
          <w:i w:val="false"/>
          <w:color w:val="000000"/>
          <w:sz w:val="24"/>
          <w:lang w:val="pl-PL"/>
        </w:rPr>
        <w:t xml:space="preserve"> Art. 42 ust. 1 pkt 8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297</w:t>
      </w:r>
      <w:r>
        <w:rPr>
          <w:rFonts w:ascii="Times New Roman"/>
          <w:b w:val="false"/>
          <w:i w:val="false"/>
          <w:color w:val="000000"/>
          <w:sz w:val="24"/>
          <w:lang w:val="pl-PL"/>
        </w:rPr>
        <w:t xml:space="preserve"> Art. 42 ust. 1 pkt 10 zmieniony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298</w:t>
      </w:r>
      <w:r>
        <w:rPr>
          <w:rFonts w:ascii="Times New Roman"/>
          <w:b w:val="false"/>
          <w:i w:val="false"/>
          <w:color w:val="000000"/>
          <w:sz w:val="24"/>
          <w:lang w:val="pl-PL"/>
        </w:rPr>
        <w:t xml:space="preserve"> Art. 42 ust. 1 pkt 12 dodany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299</w:t>
      </w:r>
      <w:r>
        <w:rPr>
          <w:rFonts w:ascii="Times New Roman"/>
          <w:b w:val="false"/>
          <w:i w:val="false"/>
          <w:color w:val="000000"/>
          <w:sz w:val="24"/>
          <w:lang w:val="pl-PL"/>
        </w:rPr>
        <w:t xml:space="preserve"> Art. 42 ust. 1 pkt 13 dodany przez </w:t>
      </w:r>
      <w:r>
        <w:rPr>
          <w:rFonts w:ascii="Times New Roman"/>
          <w:b w:val="false"/>
          <w:i w:val="false"/>
          <w:color w:val="1b1b1b"/>
          <w:sz w:val="24"/>
          <w:lang w:val="pl-PL"/>
        </w:rPr>
        <w:t>art. 1 pkt 46 lit. a</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300</w:t>
      </w:r>
      <w:r>
        <w:rPr>
          <w:rFonts w:ascii="Times New Roman"/>
          <w:b w:val="false"/>
          <w:i w:val="false"/>
          <w:color w:val="000000"/>
          <w:sz w:val="24"/>
          <w:lang w:val="pl-PL"/>
        </w:rPr>
        <w:t xml:space="preserve"> Art. 42 ust. 2 uchylony przez </w:t>
      </w:r>
      <w:r>
        <w:rPr>
          <w:rFonts w:ascii="Times New Roman"/>
          <w:b w:val="false"/>
          <w:i w:val="false"/>
          <w:color w:val="1b1b1b"/>
          <w:sz w:val="24"/>
          <w:lang w:val="pl-PL"/>
        </w:rPr>
        <w:t>art. 1 pkt 46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301</w:t>
      </w:r>
      <w:r>
        <w:rPr>
          <w:rFonts w:ascii="Times New Roman"/>
          <w:b w:val="false"/>
          <w:i w:val="false"/>
          <w:color w:val="000000"/>
          <w:sz w:val="24"/>
          <w:lang w:val="pl-PL"/>
        </w:rPr>
        <w:t xml:space="preserve"> Art. 42 ust. 8 zmieniony przez </w:t>
      </w:r>
      <w:r>
        <w:rPr>
          <w:rFonts w:ascii="Times New Roman"/>
          <w:b w:val="false"/>
          <w:i w:val="false"/>
          <w:color w:val="1b1b1b"/>
          <w:sz w:val="24"/>
          <w:lang w:val="pl-PL"/>
        </w:rPr>
        <w:t>art. 1 pkt 46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302</w:t>
      </w:r>
      <w:r>
        <w:rPr>
          <w:rFonts w:ascii="Times New Roman"/>
          <w:b w:val="false"/>
          <w:i w:val="false"/>
          <w:color w:val="000000"/>
          <w:sz w:val="24"/>
          <w:lang w:val="pl-PL"/>
        </w:rPr>
        <w:t xml:space="preserve"> Art. 42 ust. 9 dodany przez </w:t>
      </w:r>
      <w:r>
        <w:rPr>
          <w:rFonts w:ascii="Times New Roman"/>
          <w:b w:val="false"/>
          <w:i w:val="false"/>
          <w:color w:val="1b1b1b"/>
          <w:sz w:val="24"/>
          <w:lang w:val="pl-PL"/>
        </w:rPr>
        <w:t>art. 1 pkt 46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303</w:t>
      </w:r>
      <w:r>
        <w:rPr>
          <w:rFonts w:ascii="Times New Roman"/>
          <w:b w:val="false"/>
          <w:i w:val="false"/>
          <w:color w:val="000000"/>
          <w:sz w:val="24"/>
          <w:lang w:val="pl-PL"/>
        </w:rPr>
        <w:t xml:space="preserve"> Art. 42 ust. 10 dodany przez </w:t>
      </w:r>
      <w:r>
        <w:rPr>
          <w:rFonts w:ascii="Times New Roman"/>
          <w:b w:val="false"/>
          <w:i w:val="false"/>
          <w:color w:val="1b1b1b"/>
          <w:sz w:val="24"/>
          <w:lang w:val="pl-PL"/>
        </w:rPr>
        <w:t>art. 1 pkt 46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304</w:t>
      </w:r>
      <w:r>
        <w:rPr>
          <w:rFonts w:ascii="Times New Roman"/>
          <w:b w:val="false"/>
          <w:i w:val="false"/>
          <w:color w:val="000000"/>
          <w:sz w:val="24"/>
          <w:lang w:val="pl-PL"/>
        </w:rPr>
        <w:t xml:space="preserve"> Art. 42 ust. 11 dodany przez </w:t>
      </w:r>
      <w:r>
        <w:rPr>
          <w:rFonts w:ascii="Times New Roman"/>
          <w:b w:val="false"/>
          <w:i w:val="false"/>
          <w:color w:val="1b1b1b"/>
          <w:sz w:val="24"/>
          <w:lang w:val="pl-PL"/>
        </w:rPr>
        <w:t>art. 1 pkt 46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305</w:t>
      </w:r>
      <w:r>
        <w:rPr>
          <w:rFonts w:ascii="Times New Roman"/>
          <w:b w:val="false"/>
          <w:i w:val="false"/>
          <w:color w:val="000000"/>
          <w:sz w:val="24"/>
          <w:lang w:val="pl-PL"/>
        </w:rPr>
        <w:t xml:space="preserve"> Art. 43 ust. 1 zmieniony przez </w:t>
      </w:r>
      <w:r>
        <w:rPr>
          <w:rFonts w:ascii="Times New Roman"/>
          <w:b w:val="false"/>
          <w:i w:val="false"/>
          <w:color w:val="1b1b1b"/>
          <w:sz w:val="24"/>
          <w:lang w:val="pl-PL"/>
        </w:rPr>
        <w:t>art. 1 pkt 47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306</w:t>
      </w:r>
      <w:r>
        <w:rPr>
          <w:rFonts w:ascii="Times New Roman"/>
          <w:b w:val="false"/>
          <w:i w:val="false"/>
          <w:color w:val="000000"/>
          <w:sz w:val="24"/>
          <w:lang w:val="pl-PL"/>
        </w:rPr>
        <w:t xml:space="preserve"> Art. 43 ust. 2 uchylony przez </w:t>
      </w:r>
      <w:r>
        <w:rPr>
          <w:rFonts w:ascii="Times New Roman"/>
          <w:b w:val="false"/>
          <w:i w:val="false"/>
          <w:color w:val="1b1b1b"/>
          <w:sz w:val="24"/>
          <w:lang w:val="pl-PL"/>
        </w:rPr>
        <w:t>art. 1 pkt 47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307</w:t>
      </w:r>
      <w:r>
        <w:rPr>
          <w:rFonts w:ascii="Times New Roman"/>
          <w:b w:val="false"/>
          <w:i w:val="false"/>
          <w:color w:val="000000"/>
          <w:sz w:val="24"/>
          <w:lang w:val="pl-PL"/>
        </w:rPr>
        <w:t xml:space="preserve"> Art. 43 ust. 3 uchylony przez </w:t>
      </w:r>
      <w:r>
        <w:rPr>
          <w:rFonts w:ascii="Times New Roman"/>
          <w:b w:val="false"/>
          <w:i w:val="false"/>
          <w:color w:val="1b1b1b"/>
          <w:sz w:val="24"/>
          <w:lang w:val="pl-PL"/>
        </w:rPr>
        <w:t>art. 1 pkt 47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308</w:t>
      </w:r>
      <w:r>
        <w:rPr>
          <w:rFonts w:ascii="Times New Roman"/>
          <w:b w:val="false"/>
          <w:i w:val="false"/>
          <w:color w:val="000000"/>
          <w:sz w:val="24"/>
          <w:lang w:val="pl-PL"/>
        </w:rPr>
        <w:t xml:space="preserve"> Art. 43 ust. 4 uchylony przez </w:t>
      </w:r>
      <w:r>
        <w:rPr>
          <w:rFonts w:ascii="Times New Roman"/>
          <w:b w:val="false"/>
          <w:i w:val="false"/>
          <w:color w:val="1b1b1b"/>
          <w:sz w:val="24"/>
          <w:lang w:val="pl-PL"/>
        </w:rPr>
        <w:t>art. 1 pkt 47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309</w:t>
      </w:r>
      <w:r>
        <w:rPr>
          <w:rFonts w:ascii="Times New Roman"/>
          <w:b w:val="false"/>
          <w:i w:val="false"/>
          <w:color w:val="000000"/>
          <w:sz w:val="24"/>
          <w:lang w:val="pl-PL"/>
        </w:rPr>
        <w:t xml:space="preserve"> Art. 43 ust. 5 uchylony przez </w:t>
      </w:r>
      <w:r>
        <w:rPr>
          <w:rFonts w:ascii="Times New Roman"/>
          <w:b w:val="false"/>
          <w:i w:val="false"/>
          <w:color w:val="1b1b1b"/>
          <w:sz w:val="24"/>
          <w:lang w:val="pl-PL"/>
        </w:rPr>
        <w:t>art. 1 pkt 47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310</w:t>
      </w:r>
      <w:r>
        <w:rPr>
          <w:rFonts w:ascii="Times New Roman"/>
          <w:b w:val="false"/>
          <w:i w:val="false"/>
          <w:color w:val="000000"/>
          <w:sz w:val="24"/>
          <w:lang w:val="pl-PL"/>
        </w:rPr>
        <w:t xml:space="preserve"> Art. 43 ust. 6 zmieniony przez </w:t>
      </w:r>
      <w:r>
        <w:rPr>
          <w:rFonts w:ascii="Times New Roman"/>
          <w:b w:val="false"/>
          <w:i w:val="false"/>
          <w:color w:val="1b1b1b"/>
          <w:sz w:val="24"/>
          <w:lang w:val="pl-PL"/>
        </w:rPr>
        <w:t>art. 1 pkt 47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311</w:t>
      </w:r>
      <w:r>
        <w:rPr>
          <w:rFonts w:ascii="Times New Roman"/>
          <w:b w:val="false"/>
          <w:i w:val="false"/>
          <w:color w:val="000000"/>
          <w:sz w:val="24"/>
          <w:lang w:val="pl-PL"/>
        </w:rPr>
        <w:t xml:space="preserve"> Art. 44 ust. 1 zmieniony przez </w:t>
      </w:r>
      <w:r>
        <w:rPr>
          <w:rFonts w:ascii="Times New Roman"/>
          <w:b w:val="false"/>
          <w:i w:val="false"/>
          <w:color w:val="1b1b1b"/>
          <w:sz w:val="24"/>
          <w:lang w:val="pl-PL"/>
        </w:rPr>
        <w:t>art. 1 pkt 48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312</w:t>
      </w:r>
      <w:r>
        <w:rPr>
          <w:rFonts w:ascii="Times New Roman"/>
          <w:b w:val="false"/>
          <w:i w:val="false"/>
          <w:color w:val="000000"/>
          <w:sz w:val="24"/>
          <w:lang w:val="pl-PL"/>
        </w:rPr>
        <w:t xml:space="preserve"> Art. 44 ust. 1a dodany przez </w:t>
      </w:r>
      <w:r>
        <w:rPr>
          <w:rFonts w:ascii="Times New Roman"/>
          <w:b w:val="false"/>
          <w:i w:val="false"/>
          <w:color w:val="1b1b1b"/>
          <w:sz w:val="24"/>
          <w:lang w:val="pl-PL"/>
        </w:rPr>
        <w:t>art. 1 pkt 48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313</w:t>
      </w:r>
      <w:r>
        <w:rPr>
          <w:rFonts w:ascii="Times New Roman"/>
          <w:b w:val="false"/>
          <w:i w:val="false"/>
          <w:color w:val="000000"/>
          <w:sz w:val="24"/>
          <w:lang w:val="pl-PL"/>
        </w:rPr>
        <w:t xml:space="preserve"> Art. 44 ust. 1b dodany przez </w:t>
      </w:r>
      <w:r>
        <w:rPr>
          <w:rFonts w:ascii="Times New Roman"/>
          <w:b w:val="false"/>
          <w:i w:val="false"/>
          <w:color w:val="1b1b1b"/>
          <w:sz w:val="24"/>
          <w:lang w:val="pl-PL"/>
        </w:rPr>
        <w:t>art. 1 pkt 48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314</w:t>
      </w:r>
      <w:r>
        <w:rPr>
          <w:rFonts w:ascii="Times New Roman"/>
          <w:b w:val="false"/>
          <w:i w:val="false"/>
          <w:color w:val="000000"/>
          <w:sz w:val="24"/>
          <w:lang w:val="pl-PL"/>
        </w:rPr>
        <w:t xml:space="preserve"> Art. 44 ust. 1c dodany przez </w:t>
      </w:r>
      <w:r>
        <w:rPr>
          <w:rFonts w:ascii="Times New Roman"/>
          <w:b w:val="false"/>
          <w:i w:val="false"/>
          <w:color w:val="1b1b1b"/>
          <w:sz w:val="24"/>
          <w:lang w:val="pl-PL"/>
        </w:rPr>
        <w:t>art. 1 pkt 48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315</w:t>
      </w:r>
      <w:r>
        <w:rPr>
          <w:rFonts w:ascii="Times New Roman"/>
          <w:b w:val="false"/>
          <w:i w:val="false"/>
          <w:color w:val="000000"/>
          <w:sz w:val="24"/>
          <w:lang w:val="pl-PL"/>
        </w:rPr>
        <w:t xml:space="preserve"> Art. 44 ust. 1d dodany przez </w:t>
      </w:r>
      <w:r>
        <w:rPr>
          <w:rFonts w:ascii="Times New Roman"/>
          <w:b w:val="false"/>
          <w:i w:val="false"/>
          <w:color w:val="1b1b1b"/>
          <w:sz w:val="24"/>
          <w:lang w:val="pl-PL"/>
        </w:rPr>
        <w:t>art. 1 pkt 48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316</w:t>
      </w:r>
      <w:r>
        <w:rPr>
          <w:rFonts w:ascii="Times New Roman"/>
          <w:b w:val="false"/>
          <w:i w:val="false"/>
          <w:color w:val="000000"/>
          <w:sz w:val="24"/>
          <w:lang w:val="pl-PL"/>
        </w:rPr>
        <w:t xml:space="preserve"> Art. 44 ust. 2 uchylony przez </w:t>
      </w:r>
      <w:r>
        <w:rPr>
          <w:rFonts w:ascii="Times New Roman"/>
          <w:b w:val="false"/>
          <w:i w:val="false"/>
          <w:color w:val="1b1b1b"/>
          <w:sz w:val="24"/>
          <w:lang w:val="pl-PL"/>
        </w:rPr>
        <w:t>art. 1 pkt 48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317</w:t>
      </w:r>
      <w:r>
        <w:rPr>
          <w:rFonts w:ascii="Times New Roman"/>
          <w:b w:val="false"/>
          <w:i w:val="false"/>
          <w:color w:val="000000"/>
          <w:sz w:val="24"/>
          <w:lang w:val="pl-PL"/>
        </w:rPr>
        <w:t xml:space="preserve"> Art. 44 ust. 3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318</w:t>
      </w:r>
      <w:r>
        <w:rPr>
          <w:rFonts w:ascii="Times New Roman"/>
          <w:b w:val="false"/>
          <w:i w:val="false"/>
          <w:color w:val="000000"/>
          <w:sz w:val="24"/>
          <w:lang w:val="pl-PL"/>
        </w:rPr>
        <w:t xml:space="preserve"> Art. 44 ust. 4 zmieniony przez </w:t>
      </w:r>
      <w:r>
        <w:rPr>
          <w:rFonts w:ascii="Times New Roman"/>
          <w:b w:val="false"/>
          <w:i w:val="false"/>
          <w:color w:val="1b1b1b"/>
          <w:sz w:val="24"/>
          <w:lang w:val="pl-PL"/>
        </w:rPr>
        <w:t>art. 1 pkt 48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319</w:t>
      </w:r>
      <w:r>
        <w:rPr>
          <w:rFonts w:ascii="Times New Roman"/>
          <w:b w:val="false"/>
          <w:i w:val="false"/>
          <w:color w:val="000000"/>
          <w:sz w:val="24"/>
          <w:lang w:val="pl-PL"/>
        </w:rPr>
        <w:t xml:space="preserve"> Art. 44 ust. 5 dodany przez </w:t>
      </w:r>
      <w:r>
        <w:rPr>
          <w:rFonts w:ascii="Times New Roman"/>
          <w:b w:val="false"/>
          <w:i w:val="false"/>
          <w:color w:val="1b1b1b"/>
          <w:sz w:val="24"/>
          <w:lang w:val="pl-PL"/>
        </w:rPr>
        <w:t>art. 1 pkt 48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320</w:t>
      </w:r>
      <w:r>
        <w:rPr>
          <w:rFonts w:ascii="Times New Roman"/>
          <w:b w:val="false"/>
          <w:i w:val="false"/>
          <w:color w:val="000000"/>
          <w:sz w:val="24"/>
          <w:lang w:val="pl-PL"/>
        </w:rPr>
        <w:t xml:space="preserve"> Art. 44 ust. 6 dodany przez </w:t>
      </w:r>
      <w:r>
        <w:rPr>
          <w:rFonts w:ascii="Times New Roman"/>
          <w:b w:val="false"/>
          <w:i w:val="false"/>
          <w:color w:val="1b1b1b"/>
          <w:sz w:val="24"/>
          <w:lang w:val="pl-PL"/>
        </w:rPr>
        <w:t>art. 1 pkt 48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321</w:t>
      </w:r>
      <w:r>
        <w:rPr>
          <w:rFonts w:ascii="Times New Roman"/>
          <w:b w:val="false"/>
          <w:i w:val="false"/>
          <w:color w:val="000000"/>
          <w:sz w:val="24"/>
          <w:lang w:val="pl-PL"/>
        </w:rPr>
        <w:t xml:space="preserve"> Art. 44a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322</w:t>
      </w:r>
      <w:r>
        <w:rPr>
          <w:rFonts w:ascii="Times New Roman"/>
          <w:b w:val="false"/>
          <w:i w:val="false"/>
          <w:color w:val="000000"/>
          <w:sz w:val="24"/>
          <w:lang w:val="pl-PL"/>
        </w:rPr>
        <w:t xml:space="preserve"> Art. 44b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323</w:t>
      </w:r>
      <w:r>
        <w:rPr>
          <w:rFonts w:ascii="Times New Roman"/>
          <w:b w:val="false"/>
          <w:i w:val="false"/>
          <w:color w:val="000000"/>
          <w:sz w:val="24"/>
          <w:lang w:val="pl-PL"/>
        </w:rPr>
        <w:t xml:space="preserve"> Art. 44c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324</w:t>
      </w:r>
      <w:r>
        <w:rPr>
          <w:rFonts w:ascii="Times New Roman"/>
          <w:b w:val="false"/>
          <w:i w:val="false"/>
          <w:color w:val="000000"/>
          <w:sz w:val="24"/>
          <w:lang w:val="pl-PL"/>
        </w:rPr>
        <w:t xml:space="preserve"> Art. 44d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325</w:t>
      </w:r>
      <w:r>
        <w:rPr>
          <w:rFonts w:ascii="Times New Roman"/>
          <w:b w:val="false"/>
          <w:i w:val="false"/>
          <w:color w:val="000000"/>
          <w:sz w:val="24"/>
          <w:lang w:val="pl-PL"/>
        </w:rPr>
        <w:t xml:space="preserve"> Art. 44e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326</w:t>
      </w:r>
      <w:r>
        <w:rPr>
          <w:rFonts w:ascii="Times New Roman"/>
          <w:b w:val="false"/>
          <w:i w:val="false"/>
          <w:color w:val="000000"/>
          <w:sz w:val="24"/>
          <w:lang w:val="pl-PL"/>
        </w:rPr>
        <w:t xml:space="preserve"> Art. 44f dodany przez </w:t>
      </w:r>
      <w:r>
        <w:rPr>
          <w:rFonts w:ascii="Times New Roman"/>
          <w:b w:val="false"/>
          <w:i w:val="false"/>
          <w:color w:val="1b1b1b"/>
          <w:sz w:val="24"/>
          <w:lang w:val="pl-PL"/>
        </w:rPr>
        <w:t>art. 1 pkt 49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327</w:t>
      </w:r>
      <w:r>
        <w:rPr>
          <w:rFonts w:ascii="Times New Roman"/>
          <w:b w:val="false"/>
          <w:i w:val="false"/>
          <w:color w:val="000000"/>
          <w:sz w:val="24"/>
          <w:lang w:val="pl-PL"/>
        </w:rPr>
        <w:t xml:space="preserve"> Art. 45 ust. 1 pkt 1a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328</w:t>
      </w:r>
      <w:r>
        <w:rPr>
          <w:rFonts w:ascii="Times New Roman"/>
          <w:b w:val="false"/>
          <w:i w:val="false"/>
          <w:color w:val="000000"/>
          <w:sz w:val="24"/>
          <w:lang w:val="pl-PL"/>
        </w:rPr>
        <w:t xml:space="preserve"> Art. 45 ust. 1 pkt 1b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329</w:t>
      </w:r>
      <w:r>
        <w:rPr>
          <w:rFonts w:ascii="Times New Roman"/>
          <w:b w:val="false"/>
          <w:i w:val="false"/>
          <w:color w:val="000000"/>
          <w:sz w:val="24"/>
          <w:lang w:val="pl-PL"/>
        </w:rPr>
        <w:t xml:space="preserve"> Art. 45 ust. 1 pkt 3 zmieniony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330</w:t>
      </w:r>
      <w:r>
        <w:rPr>
          <w:rFonts w:ascii="Times New Roman"/>
          <w:b w:val="false"/>
          <w:i w:val="false"/>
          <w:color w:val="000000"/>
          <w:sz w:val="24"/>
          <w:lang w:val="pl-PL"/>
        </w:rPr>
        <w:t xml:space="preserve"> Art. 45 ust. 1 pkt 6 zmieniony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331</w:t>
      </w:r>
      <w:r>
        <w:rPr>
          <w:rFonts w:ascii="Times New Roman"/>
          <w:b w:val="false"/>
          <w:i w:val="false"/>
          <w:color w:val="000000"/>
          <w:sz w:val="24"/>
          <w:lang w:val="pl-PL"/>
        </w:rPr>
        <w:t xml:space="preserve"> Art. 45 ust. 1 pkt 7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332</w:t>
      </w:r>
      <w:r>
        <w:rPr>
          <w:rFonts w:ascii="Times New Roman"/>
          <w:b w:val="false"/>
          <w:i w:val="false"/>
          <w:color w:val="000000"/>
          <w:sz w:val="24"/>
          <w:lang w:val="pl-PL"/>
        </w:rPr>
        <w:t xml:space="preserve"> Art. 45 ust. 1 pkt 8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333</w:t>
      </w:r>
      <w:r>
        <w:rPr>
          <w:rFonts w:ascii="Times New Roman"/>
          <w:b w:val="false"/>
          <w:i w:val="false"/>
          <w:color w:val="000000"/>
          <w:sz w:val="24"/>
          <w:lang w:val="pl-PL"/>
        </w:rPr>
        <w:t xml:space="preserve"> Art. 45 ust. 1 pkt 9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334</w:t>
      </w:r>
      <w:r>
        <w:rPr>
          <w:rFonts w:ascii="Times New Roman"/>
          <w:b w:val="false"/>
          <w:i w:val="false"/>
          <w:color w:val="000000"/>
          <w:sz w:val="24"/>
          <w:lang w:val="pl-PL"/>
        </w:rPr>
        <w:t xml:space="preserve"> Art. 45 ust. 1 pkt 10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335</w:t>
      </w:r>
      <w:r>
        <w:rPr>
          <w:rFonts w:ascii="Times New Roman"/>
          <w:b w:val="false"/>
          <w:i w:val="false"/>
          <w:color w:val="000000"/>
          <w:sz w:val="24"/>
          <w:lang w:val="pl-PL"/>
        </w:rPr>
        <w:t xml:space="preserve"> Art. 45 ust. 1 pkt 11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336</w:t>
      </w:r>
      <w:r>
        <w:rPr>
          <w:rFonts w:ascii="Times New Roman"/>
          <w:b w:val="false"/>
          <w:i w:val="false"/>
          <w:color w:val="000000"/>
          <w:sz w:val="24"/>
          <w:lang w:val="pl-PL"/>
        </w:rPr>
        <w:t xml:space="preserve"> Art. 45 ust. 1 pkt 12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337</w:t>
      </w:r>
      <w:r>
        <w:rPr>
          <w:rFonts w:ascii="Times New Roman"/>
          <w:b w:val="false"/>
          <w:i w:val="false"/>
          <w:color w:val="000000"/>
          <w:sz w:val="24"/>
          <w:lang w:val="pl-PL"/>
        </w:rPr>
        <w:t xml:space="preserve"> Art. 45 ust. 1 pkt 13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338</w:t>
      </w:r>
      <w:r>
        <w:rPr>
          <w:rFonts w:ascii="Times New Roman"/>
          <w:b w:val="false"/>
          <w:i w:val="false"/>
          <w:color w:val="000000"/>
          <w:sz w:val="24"/>
          <w:lang w:val="pl-PL"/>
        </w:rPr>
        <w:t xml:space="preserve"> Art. 45 ust. 1 pkt 14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339</w:t>
      </w:r>
      <w:r>
        <w:rPr>
          <w:rFonts w:ascii="Times New Roman"/>
          <w:b w:val="false"/>
          <w:i w:val="false"/>
          <w:color w:val="000000"/>
          <w:sz w:val="24"/>
          <w:lang w:val="pl-PL"/>
        </w:rPr>
        <w:t xml:space="preserve"> Art. 45 ust. 1 pkt 15 dodany przez </w:t>
      </w:r>
      <w:r>
        <w:rPr>
          <w:rFonts w:ascii="Times New Roman"/>
          <w:b w:val="false"/>
          <w:i w:val="false"/>
          <w:color w:val="1b1b1b"/>
          <w:sz w:val="24"/>
          <w:lang w:val="pl-PL"/>
        </w:rPr>
        <w:t>art. 1 pkt 50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340</w:t>
      </w:r>
      <w:r>
        <w:rPr>
          <w:rFonts w:ascii="Times New Roman"/>
          <w:b w:val="false"/>
          <w:i w:val="false"/>
          <w:color w:val="000000"/>
          <w:sz w:val="24"/>
          <w:lang w:val="pl-PL"/>
        </w:rPr>
        <w:t xml:space="preserve"> Art. 45 ust. 2 zmieniony przez </w:t>
      </w:r>
      <w:r>
        <w:rPr>
          <w:rFonts w:ascii="Times New Roman"/>
          <w:b w:val="false"/>
          <w:i w:val="false"/>
          <w:color w:val="1b1b1b"/>
          <w:sz w:val="24"/>
          <w:lang w:val="pl-PL"/>
        </w:rPr>
        <w:t>art. 1 pkt 50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341</w:t>
      </w:r>
      <w:r>
        <w:rPr>
          <w:rFonts w:ascii="Times New Roman"/>
          <w:b w:val="false"/>
          <w:i w:val="false"/>
          <w:color w:val="000000"/>
          <w:sz w:val="24"/>
          <w:lang w:val="pl-PL"/>
        </w:rPr>
        <w:t xml:space="preserve"> Art. 45 ust. 3 dodany przez </w:t>
      </w:r>
      <w:r>
        <w:rPr>
          <w:rFonts w:ascii="Times New Roman"/>
          <w:b w:val="false"/>
          <w:i w:val="false"/>
          <w:color w:val="1b1b1b"/>
          <w:sz w:val="24"/>
          <w:lang w:val="pl-PL"/>
        </w:rPr>
        <w:t>art. 1 pkt 50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342</w:t>
      </w:r>
      <w:r>
        <w:rPr>
          <w:rFonts w:ascii="Times New Roman"/>
          <w:b w:val="false"/>
          <w:i w:val="false"/>
          <w:color w:val="000000"/>
          <w:sz w:val="24"/>
          <w:lang w:val="pl-PL"/>
        </w:rPr>
        <w:t xml:space="preserve"> Art. 45 ust. 4 dodany przez </w:t>
      </w:r>
      <w:r>
        <w:rPr>
          <w:rFonts w:ascii="Times New Roman"/>
          <w:b w:val="false"/>
          <w:i w:val="false"/>
          <w:color w:val="1b1b1b"/>
          <w:sz w:val="24"/>
          <w:lang w:val="pl-PL"/>
        </w:rPr>
        <w:t>art. 1 pkt 50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343</w:t>
      </w:r>
      <w:r>
        <w:rPr>
          <w:rFonts w:ascii="Times New Roman"/>
          <w:b w:val="false"/>
          <w:i w:val="false"/>
          <w:color w:val="000000"/>
          <w:sz w:val="24"/>
          <w:lang w:val="pl-PL"/>
        </w:rPr>
        <w:t xml:space="preserve"> Art. 45 ust. 5 dodany przez </w:t>
      </w:r>
      <w:r>
        <w:rPr>
          <w:rFonts w:ascii="Times New Roman"/>
          <w:b w:val="false"/>
          <w:i w:val="false"/>
          <w:color w:val="1b1b1b"/>
          <w:sz w:val="24"/>
          <w:lang w:val="pl-PL"/>
        </w:rPr>
        <w:t>art. 1 pkt 50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344</w:t>
      </w:r>
      <w:r>
        <w:rPr>
          <w:rFonts w:ascii="Times New Roman"/>
          <w:b w:val="false"/>
          <w:i w:val="false"/>
          <w:color w:val="000000"/>
          <w:sz w:val="24"/>
          <w:lang w:val="pl-PL"/>
        </w:rPr>
        <w:t xml:space="preserve"> Art. 45a zmieniony przez </w:t>
      </w:r>
      <w:r>
        <w:rPr>
          <w:rFonts w:ascii="Times New Roman"/>
          <w:b w:val="false"/>
          <w:i w:val="false"/>
          <w:color w:val="1b1b1b"/>
          <w:sz w:val="24"/>
          <w:lang w:val="pl-PL"/>
        </w:rPr>
        <w:t>art. 1 pkt 51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345</w:t>
      </w:r>
      <w:r>
        <w:rPr>
          <w:rFonts w:ascii="Times New Roman"/>
          <w:b w:val="false"/>
          <w:i w:val="false"/>
          <w:color w:val="000000"/>
          <w:sz w:val="24"/>
          <w:lang w:val="pl-PL"/>
        </w:rPr>
        <w:t xml:space="preserve"> Art. 45b dodany przez </w:t>
      </w:r>
      <w:r>
        <w:rPr>
          <w:rFonts w:ascii="Times New Roman"/>
          <w:b w:val="false"/>
          <w:i w:val="false"/>
          <w:color w:val="1b1b1b"/>
          <w:sz w:val="24"/>
          <w:lang w:val="pl-PL"/>
        </w:rPr>
        <w:t>art. 1 pkt 52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346</w:t>
      </w:r>
      <w:r>
        <w:rPr>
          <w:rFonts w:ascii="Times New Roman"/>
          <w:b w:val="false"/>
          <w:i w:val="false"/>
          <w:color w:val="000000"/>
          <w:sz w:val="24"/>
          <w:lang w:val="pl-PL"/>
        </w:rPr>
        <w:t xml:space="preserve"> Art. 45c dodany przez </w:t>
      </w:r>
      <w:r>
        <w:rPr>
          <w:rFonts w:ascii="Times New Roman"/>
          <w:b w:val="false"/>
          <w:i w:val="false"/>
          <w:color w:val="1b1b1b"/>
          <w:sz w:val="24"/>
          <w:lang w:val="pl-PL"/>
        </w:rPr>
        <w:t>art. 1 pkt 52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347</w:t>
      </w:r>
      <w:r>
        <w:rPr>
          <w:rFonts w:ascii="Times New Roman"/>
          <w:b w:val="false"/>
          <w:i w:val="false"/>
          <w:color w:val="000000"/>
          <w:sz w:val="24"/>
          <w:lang w:val="pl-PL"/>
        </w:rPr>
        <w:t xml:space="preserve"> Art. 46 ust. 1 pkt 5 zmieniony przez </w:t>
      </w:r>
      <w:r>
        <w:rPr>
          <w:rFonts w:ascii="Times New Roman"/>
          <w:b w:val="false"/>
          <w:i w:val="false"/>
          <w:color w:val="1b1b1b"/>
          <w:sz w:val="24"/>
          <w:lang w:val="pl-PL"/>
        </w:rPr>
        <w:t>art. 1 pkt 53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348</w:t>
      </w:r>
      <w:r>
        <w:rPr>
          <w:rFonts w:ascii="Times New Roman"/>
          <w:b w:val="false"/>
          <w:i w:val="false"/>
          <w:color w:val="000000"/>
          <w:sz w:val="24"/>
          <w:lang w:val="pl-PL"/>
        </w:rPr>
        <w:t xml:space="preserve"> Art. 46 ust. 1 pkt 6 dodany przez </w:t>
      </w:r>
      <w:r>
        <w:rPr>
          <w:rFonts w:ascii="Times New Roman"/>
          <w:b w:val="false"/>
          <w:i w:val="false"/>
          <w:color w:val="1b1b1b"/>
          <w:sz w:val="24"/>
          <w:lang w:val="pl-PL"/>
        </w:rPr>
        <w:t>art. 1 pkt 53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349</w:t>
      </w:r>
      <w:r>
        <w:rPr>
          <w:rFonts w:ascii="Times New Roman"/>
          <w:b w:val="false"/>
          <w:i w:val="false"/>
          <w:color w:val="000000"/>
          <w:sz w:val="24"/>
          <w:lang w:val="pl-PL"/>
        </w:rPr>
        <w:t xml:space="preserve"> Art. 46 ust. 1 pkt 7 dodany przez </w:t>
      </w:r>
      <w:r>
        <w:rPr>
          <w:rFonts w:ascii="Times New Roman"/>
          <w:b w:val="false"/>
          <w:i w:val="false"/>
          <w:color w:val="1b1b1b"/>
          <w:sz w:val="24"/>
          <w:lang w:val="pl-PL"/>
        </w:rPr>
        <w:t>art. 1 pkt 53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350</w:t>
      </w:r>
      <w:r>
        <w:rPr>
          <w:rFonts w:ascii="Times New Roman"/>
          <w:b w:val="false"/>
          <w:i w:val="false"/>
          <w:color w:val="000000"/>
          <w:sz w:val="24"/>
          <w:lang w:val="pl-PL"/>
        </w:rPr>
        <w:t xml:space="preserve"> Art. 46 ust. 1 pkt 8 dodany przez </w:t>
      </w:r>
      <w:r>
        <w:rPr>
          <w:rFonts w:ascii="Times New Roman"/>
          <w:b w:val="false"/>
          <w:i w:val="false"/>
          <w:color w:val="1b1b1b"/>
          <w:sz w:val="24"/>
          <w:lang w:val="pl-PL"/>
        </w:rPr>
        <w:t>art. 1 pkt 53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351</w:t>
      </w:r>
      <w:r>
        <w:rPr>
          <w:rFonts w:ascii="Times New Roman"/>
          <w:b w:val="false"/>
          <w:i w:val="false"/>
          <w:color w:val="000000"/>
          <w:sz w:val="24"/>
          <w:lang w:val="pl-PL"/>
        </w:rPr>
        <w:t xml:space="preserve"> Art. 46 ust. 1a dodany przez </w:t>
      </w:r>
      <w:r>
        <w:rPr>
          <w:rFonts w:ascii="Times New Roman"/>
          <w:b w:val="false"/>
          <w:i w:val="false"/>
          <w:color w:val="1b1b1b"/>
          <w:sz w:val="24"/>
          <w:lang w:val="pl-PL"/>
        </w:rPr>
        <w:t>art. 1 pkt 53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352</w:t>
      </w:r>
      <w:r>
        <w:rPr>
          <w:rFonts w:ascii="Times New Roman"/>
          <w:b w:val="false"/>
          <w:i w:val="false"/>
          <w:color w:val="000000"/>
          <w:sz w:val="24"/>
          <w:lang w:val="pl-PL"/>
        </w:rPr>
        <w:t xml:space="preserve"> Art. 46 ust. 1b dodany przez </w:t>
      </w:r>
      <w:r>
        <w:rPr>
          <w:rFonts w:ascii="Times New Roman"/>
          <w:b w:val="false"/>
          <w:i w:val="false"/>
          <w:color w:val="1b1b1b"/>
          <w:sz w:val="24"/>
          <w:lang w:val="pl-PL"/>
        </w:rPr>
        <w:t>art. 20 pkt 3</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353</w:t>
      </w:r>
      <w:r>
        <w:rPr>
          <w:rFonts w:ascii="Times New Roman"/>
          <w:b w:val="false"/>
          <w:i w:val="false"/>
          <w:color w:val="000000"/>
          <w:sz w:val="24"/>
          <w:lang w:val="pl-PL"/>
        </w:rPr>
        <w:t xml:space="preserve"> Art. 46 ust. 2 zmieniony przez </w:t>
      </w:r>
      <w:r>
        <w:rPr>
          <w:rFonts w:ascii="Times New Roman"/>
          <w:b w:val="false"/>
          <w:i w:val="false"/>
          <w:color w:val="1b1b1b"/>
          <w:sz w:val="24"/>
          <w:lang w:val="pl-PL"/>
        </w:rPr>
        <w:t>art. 1 pkt 53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354</w:t>
      </w:r>
      <w:r>
        <w:rPr>
          <w:rFonts w:ascii="Times New Roman"/>
          <w:b w:val="false"/>
          <w:i w:val="false"/>
          <w:color w:val="000000"/>
          <w:sz w:val="24"/>
          <w:lang w:val="pl-PL"/>
        </w:rPr>
        <w:t xml:space="preserve"> Art. 46 ust. 3 uchylony przez </w:t>
      </w:r>
      <w:r>
        <w:rPr>
          <w:rFonts w:ascii="Times New Roman"/>
          <w:b w:val="false"/>
          <w:i w:val="false"/>
          <w:color w:val="1b1b1b"/>
          <w:sz w:val="24"/>
          <w:lang w:val="pl-PL"/>
        </w:rPr>
        <w:t>art. 1 pkt 53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355</w:t>
      </w:r>
      <w:r>
        <w:rPr>
          <w:rFonts w:ascii="Times New Roman"/>
          <w:b w:val="false"/>
          <w:i w:val="false"/>
          <w:color w:val="000000"/>
          <w:sz w:val="24"/>
          <w:lang w:val="pl-PL"/>
        </w:rPr>
        <w:t xml:space="preserve"> Art. 46 ust. 4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356</w:t>
      </w:r>
      <w:r>
        <w:rPr>
          <w:rFonts w:ascii="Times New Roman"/>
          <w:b w:val="false"/>
          <w:i w:val="false"/>
          <w:color w:val="000000"/>
          <w:sz w:val="24"/>
          <w:lang w:val="pl-PL"/>
        </w:rPr>
        <w:t xml:space="preserve"> Art. 46 ust. 5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357</w:t>
      </w:r>
      <w:r>
        <w:rPr>
          <w:rFonts w:ascii="Times New Roman"/>
          <w:b w:val="false"/>
          <w:i w:val="false"/>
          <w:color w:val="000000"/>
          <w:sz w:val="24"/>
          <w:lang w:val="pl-PL"/>
        </w:rPr>
        <w:t xml:space="preserve"> Art. 46 ust. 6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358</w:t>
      </w:r>
      <w:r>
        <w:rPr>
          <w:rFonts w:ascii="Times New Roman"/>
          <w:b w:val="false"/>
          <w:i w:val="false"/>
          <w:color w:val="000000"/>
          <w:sz w:val="24"/>
          <w:lang w:val="pl-PL"/>
        </w:rPr>
        <w:t xml:space="preserve"> Art. 46 ust. 7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359</w:t>
      </w:r>
      <w:r>
        <w:rPr>
          <w:rFonts w:ascii="Times New Roman"/>
          <w:b w:val="false"/>
          <w:i w:val="false"/>
          <w:color w:val="000000"/>
          <w:sz w:val="24"/>
          <w:lang w:val="pl-PL"/>
        </w:rPr>
        <w:t xml:space="preserve"> Art. 46 ust. 8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360</w:t>
      </w:r>
      <w:r>
        <w:rPr>
          <w:rFonts w:ascii="Times New Roman"/>
          <w:b w:val="false"/>
          <w:i w:val="false"/>
          <w:color w:val="000000"/>
          <w:sz w:val="24"/>
          <w:lang w:val="pl-PL"/>
        </w:rPr>
        <w:t xml:space="preserve"> Art. 46 ust. 9 dodany przez </w:t>
      </w:r>
      <w:r>
        <w:rPr>
          <w:rFonts w:ascii="Times New Roman"/>
          <w:b w:val="false"/>
          <w:i w:val="false"/>
          <w:color w:val="1b1b1b"/>
          <w:sz w:val="24"/>
          <w:lang w:val="pl-PL"/>
        </w:rPr>
        <w:t>art. 1 pkt 53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361</w:t>
      </w:r>
      <w:r>
        <w:rPr>
          <w:rFonts w:ascii="Times New Roman"/>
          <w:b w:val="false"/>
          <w:i w:val="false"/>
          <w:color w:val="000000"/>
          <w:sz w:val="24"/>
          <w:lang w:val="pl-PL"/>
        </w:rPr>
        <w:t xml:space="preserve"> Art. 46a dodany przez </w:t>
      </w:r>
      <w:r>
        <w:rPr>
          <w:rFonts w:ascii="Times New Roman"/>
          <w:b w:val="false"/>
          <w:i w:val="false"/>
          <w:color w:val="1b1b1b"/>
          <w:sz w:val="24"/>
          <w:lang w:val="pl-PL"/>
        </w:rPr>
        <w:t>art. 1 pkt 54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362</w:t>
      </w:r>
      <w:r>
        <w:rPr>
          <w:rFonts w:ascii="Times New Roman"/>
          <w:b w:val="false"/>
          <w:i w:val="false"/>
          <w:color w:val="000000"/>
          <w:sz w:val="24"/>
          <w:lang w:val="pl-PL"/>
        </w:rPr>
        <w:t xml:space="preserve"> Art. 46b dodany przez </w:t>
      </w:r>
      <w:r>
        <w:rPr>
          <w:rFonts w:ascii="Times New Roman"/>
          <w:b w:val="false"/>
          <w:i w:val="false"/>
          <w:color w:val="1b1b1b"/>
          <w:sz w:val="24"/>
          <w:lang w:val="pl-PL"/>
        </w:rPr>
        <w:t>art. 1 pkt 54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363</w:t>
      </w:r>
      <w:r>
        <w:rPr>
          <w:rFonts w:ascii="Times New Roman"/>
          <w:b w:val="false"/>
          <w:i w:val="false"/>
          <w:color w:val="000000"/>
          <w:sz w:val="24"/>
          <w:lang w:val="pl-PL"/>
        </w:rPr>
        <w:t xml:space="preserve"> Art. 47 ust. 1 zmieniony przez </w:t>
      </w:r>
      <w:r>
        <w:rPr>
          <w:rFonts w:ascii="Times New Roman"/>
          <w:b w:val="false"/>
          <w:i w:val="false"/>
          <w:color w:val="1b1b1b"/>
          <w:sz w:val="24"/>
          <w:lang w:val="pl-PL"/>
        </w:rPr>
        <w:t>art. 1 pkt 55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364</w:t>
      </w:r>
      <w:r>
        <w:rPr>
          <w:rFonts w:ascii="Times New Roman"/>
          <w:b w:val="false"/>
          <w:i w:val="false"/>
          <w:color w:val="000000"/>
          <w:sz w:val="24"/>
          <w:lang w:val="pl-PL"/>
        </w:rPr>
        <w:t xml:space="preserve"> Art. 47 ust. 3 dodany przez </w:t>
      </w:r>
      <w:r>
        <w:rPr>
          <w:rFonts w:ascii="Times New Roman"/>
          <w:b w:val="false"/>
          <w:i w:val="false"/>
          <w:color w:val="1b1b1b"/>
          <w:sz w:val="24"/>
          <w:lang w:val="pl-PL"/>
        </w:rPr>
        <w:t>art. 1 pkt 55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365</w:t>
      </w:r>
      <w:r>
        <w:rPr>
          <w:rFonts w:ascii="Times New Roman"/>
          <w:b w:val="false"/>
          <w:i w:val="false"/>
          <w:color w:val="000000"/>
          <w:sz w:val="24"/>
          <w:lang w:val="pl-PL"/>
        </w:rPr>
        <w:t xml:space="preserve"> Art. 48 pkt 1 zmieniony przez </w:t>
      </w:r>
      <w:r>
        <w:rPr>
          <w:rFonts w:ascii="Times New Roman"/>
          <w:b w:val="false"/>
          <w:i w:val="false"/>
          <w:color w:val="1b1b1b"/>
          <w:sz w:val="24"/>
          <w:lang w:val="pl-PL"/>
        </w:rPr>
        <w:t>art. 1 pkt 56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366</w:t>
      </w:r>
      <w:r>
        <w:rPr>
          <w:rFonts w:ascii="Times New Roman"/>
          <w:b w:val="false"/>
          <w:i w:val="false"/>
          <w:color w:val="000000"/>
          <w:sz w:val="24"/>
          <w:lang w:val="pl-PL"/>
        </w:rPr>
        <w:t xml:space="preserve"> Art. 48 pkt 2 zmieniony przez </w:t>
      </w:r>
      <w:r>
        <w:rPr>
          <w:rFonts w:ascii="Times New Roman"/>
          <w:b w:val="false"/>
          <w:i w:val="false"/>
          <w:color w:val="1b1b1b"/>
          <w:sz w:val="24"/>
          <w:lang w:val="pl-PL"/>
        </w:rPr>
        <w:t>art. 1 pkt 56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367</w:t>
      </w:r>
      <w:r>
        <w:rPr>
          <w:rFonts w:ascii="Times New Roman"/>
          <w:b w:val="false"/>
          <w:i w:val="false"/>
          <w:color w:val="000000"/>
          <w:sz w:val="24"/>
          <w:lang w:val="pl-PL"/>
        </w:rPr>
        <w:t xml:space="preserve"> Art. 49 ust. 1 pkt 5 zmieniony przez </w:t>
      </w:r>
      <w:r>
        <w:rPr>
          <w:rFonts w:ascii="Times New Roman"/>
          <w:b w:val="false"/>
          <w:i w:val="false"/>
          <w:color w:val="1b1b1b"/>
          <w:sz w:val="24"/>
          <w:lang w:val="pl-PL"/>
        </w:rPr>
        <w:t>art. 1 pkt 57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368</w:t>
      </w:r>
      <w:r>
        <w:rPr>
          <w:rFonts w:ascii="Times New Roman"/>
          <w:b w:val="false"/>
          <w:i w:val="false"/>
          <w:color w:val="000000"/>
          <w:sz w:val="24"/>
          <w:lang w:val="pl-PL"/>
        </w:rPr>
        <w:t xml:space="preserve"> Art. 49 ust. 3 zdanie wstępne zmienione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369</w:t>
      </w:r>
      <w:r>
        <w:rPr>
          <w:rFonts w:ascii="Times New Roman"/>
          <w:b w:val="false"/>
          <w:i w:val="false"/>
          <w:color w:val="000000"/>
          <w:sz w:val="24"/>
          <w:lang w:val="pl-PL"/>
        </w:rPr>
        <w:t xml:space="preserve"> Art. 49 ust. 3 pkt 2 zmieniony przez </w:t>
      </w:r>
      <w:r>
        <w:rPr>
          <w:rFonts w:ascii="Times New Roman"/>
          <w:b w:val="false"/>
          <w:i w:val="false"/>
          <w:color w:val="1b1b1b"/>
          <w:sz w:val="24"/>
          <w:lang w:val="pl-PL"/>
        </w:rPr>
        <w:t>art. 1 pkt 57 lit. b</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370</w:t>
      </w:r>
      <w:r>
        <w:rPr>
          <w:rFonts w:ascii="Times New Roman"/>
          <w:b w:val="false"/>
          <w:i w:val="false"/>
          <w:color w:val="000000"/>
          <w:sz w:val="24"/>
          <w:lang w:val="pl-PL"/>
        </w:rPr>
        <w:t xml:space="preserve"> Art. 49 ust. 3 pkt 4 zmieniony przez </w:t>
      </w:r>
      <w:r>
        <w:rPr>
          <w:rFonts w:ascii="Times New Roman"/>
          <w:b w:val="false"/>
          <w:i w:val="false"/>
          <w:color w:val="1b1b1b"/>
          <w:sz w:val="24"/>
          <w:lang w:val="pl-PL"/>
        </w:rPr>
        <w:t>art. 1 pkt 57 lit. b</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371</w:t>
      </w:r>
      <w:r>
        <w:rPr>
          <w:rFonts w:ascii="Times New Roman"/>
          <w:b w:val="false"/>
          <w:i w:val="false"/>
          <w:color w:val="000000"/>
          <w:sz w:val="24"/>
          <w:lang w:val="pl-PL"/>
        </w:rPr>
        <w:t xml:space="preserve"> Art. 49 ust. 3 pkt 6 zmieniony przez </w:t>
      </w:r>
      <w:r>
        <w:rPr>
          <w:rFonts w:ascii="Times New Roman"/>
          <w:b w:val="false"/>
          <w:i w:val="false"/>
          <w:color w:val="1b1b1b"/>
          <w:sz w:val="24"/>
          <w:lang w:val="pl-PL"/>
        </w:rPr>
        <w:t>art. 1 pkt 57 lit. b</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372</w:t>
      </w:r>
      <w:r>
        <w:rPr>
          <w:rFonts w:ascii="Times New Roman"/>
          <w:b w:val="false"/>
          <w:i w:val="false"/>
          <w:color w:val="000000"/>
          <w:sz w:val="24"/>
          <w:lang w:val="pl-PL"/>
        </w:rPr>
        <w:t xml:space="preserve"> Art. 49 ust. 4 dodany przez </w:t>
      </w:r>
      <w:r>
        <w:rPr>
          <w:rFonts w:ascii="Times New Roman"/>
          <w:b w:val="false"/>
          <w:i w:val="false"/>
          <w:color w:val="1b1b1b"/>
          <w:sz w:val="24"/>
          <w:lang w:val="pl-PL"/>
        </w:rPr>
        <w:t>art. 1 pkt 57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373</w:t>
      </w:r>
      <w:r>
        <w:rPr>
          <w:rFonts w:ascii="Times New Roman"/>
          <w:b w:val="false"/>
          <w:i w:val="false"/>
          <w:color w:val="000000"/>
          <w:sz w:val="24"/>
          <w:lang w:val="pl-PL"/>
        </w:rPr>
        <w:t xml:space="preserve"> Art. 49 ust. 5 dodany przez </w:t>
      </w:r>
      <w:r>
        <w:rPr>
          <w:rFonts w:ascii="Times New Roman"/>
          <w:b w:val="false"/>
          <w:i w:val="false"/>
          <w:color w:val="1b1b1b"/>
          <w:sz w:val="24"/>
          <w:lang w:val="pl-PL"/>
        </w:rPr>
        <w:t>art. 1 pkt 57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374</w:t>
      </w:r>
      <w:r>
        <w:rPr>
          <w:rFonts w:ascii="Times New Roman"/>
          <w:b w:val="false"/>
          <w:i w:val="false"/>
          <w:color w:val="000000"/>
          <w:sz w:val="24"/>
          <w:lang w:val="pl-PL"/>
        </w:rPr>
        <w:t xml:space="preserve"> Art. 49 ust. 6 dodany przez </w:t>
      </w:r>
      <w:r>
        <w:rPr>
          <w:rFonts w:ascii="Times New Roman"/>
          <w:b w:val="false"/>
          <w:i w:val="false"/>
          <w:color w:val="1b1b1b"/>
          <w:sz w:val="24"/>
          <w:lang w:val="pl-PL"/>
        </w:rPr>
        <w:t>art. 1 pkt 57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375</w:t>
      </w:r>
      <w:r>
        <w:rPr>
          <w:rFonts w:ascii="Times New Roman"/>
          <w:b w:val="false"/>
          <w:i w:val="false"/>
          <w:color w:val="000000"/>
          <w:sz w:val="24"/>
          <w:lang w:val="pl-PL"/>
        </w:rPr>
        <w:t xml:space="preserve"> Art. 49 ust. 7 dodany przez </w:t>
      </w:r>
      <w:r>
        <w:rPr>
          <w:rFonts w:ascii="Times New Roman"/>
          <w:b w:val="false"/>
          <w:i w:val="false"/>
          <w:color w:val="1b1b1b"/>
          <w:sz w:val="24"/>
          <w:lang w:val="pl-PL"/>
        </w:rPr>
        <w:t>art. 1 pkt 57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376</w:t>
      </w:r>
      <w:r>
        <w:rPr>
          <w:rFonts w:ascii="Times New Roman"/>
          <w:b w:val="false"/>
          <w:i w:val="false"/>
          <w:color w:val="000000"/>
          <w:sz w:val="24"/>
          <w:lang w:val="pl-PL"/>
        </w:rPr>
        <w:t xml:space="preserve"> Art. 49 ust. 8 dodany przez </w:t>
      </w:r>
      <w:r>
        <w:rPr>
          <w:rFonts w:ascii="Times New Roman"/>
          <w:b w:val="false"/>
          <w:i w:val="false"/>
          <w:color w:val="1b1b1b"/>
          <w:sz w:val="24"/>
          <w:lang w:val="pl-PL"/>
        </w:rPr>
        <w:t>art. 1 pkt 57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377</w:t>
      </w:r>
      <w:r>
        <w:rPr>
          <w:rFonts w:ascii="Times New Roman"/>
          <w:b w:val="false"/>
          <w:i w:val="false"/>
          <w:color w:val="000000"/>
          <w:sz w:val="24"/>
          <w:lang w:val="pl-PL"/>
        </w:rPr>
        <w:t xml:space="preserve"> Art. 50 zmieniony przez </w:t>
      </w:r>
      <w:r>
        <w:rPr>
          <w:rFonts w:ascii="Times New Roman"/>
          <w:b w:val="false"/>
          <w:i w:val="false"/>
          <w:color w:val="1b1b1b"/>
          <w:sz w:val="24"/>
          <w:lang w:val="pl-PL"/>
        </w:rPr>
        <w:t>art. 1 pkt 58</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378</w:t>
      </w:r>
      <w:r>
        <w:rPr>
          <w:rFonts w:ascii="Times New Roman"/>
          <w:b w:val="false"/>
          <w:i w:val="false"/>
          <w:color w:val="000000"/>
          <w:sz w:val="24"/>
          <w:lang w:val="pl-PL"/>
        </w:rPr>
        <w:t xml:space="preserve"> Art. 51 pkt 2 zmieniony przez </w:t>
      </w:r>
      <w:r>
        <w:rPr>
          <w:rFonts w:ascii="Times New Roman"/>
          <w:b w:val="false"/>
          <w:i w:val="false"/>
          <w:color w:val="1b1b1b"/>
          <w:sz w:val="24"/>
          <w:lang w:val="pl-PL"/>
        </w:rPr>
        <w:t>art. 1 pkt 59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379</w:t>
      </w:r>
      <w:r>
        <w:rPr>
          <w:rFonts w:ascii="Times New Roman"/>
          <w:b w:val="false"/>
          <w:i w:val="false"/>
          <w:color w:val="000000"/>
          <w:sz w:val="24"/>
          <w:lang w:val="pl-PL"/>
        </w:rPr>
        <w:t xml:space="preserve"> Art. 51 pkt 5 zmieniony przez </w:t>
      </w:r>
      <w:r>
        <w:rPr>
          <w:rFonts w:ascii="Times New Roman"/>
          <w:b w:val="false"/>
          <w:i w:val="false"/>
          <w:color w:val="1b1b1b"/>
          <w:sz w:val="24"/>
          <w:lang w:val="pl-PL"/>
        </w:rPr>
        <w:t>art. 1 pkt 59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380</w:t>
      </w:r>
      <w:r>
        <w:rPr>
          <w:rFonts w:ascii="Times New Roman"/>
          <w:b w:val="false"/>
          <w:i w:val="false"/>
          <w:color w:val="000000"/>
          <w:sz w:val="24"/>
          <w:lang w:val="pl-PL"/>
        </w:rPr>
        <w:t xml:space="preserve"> Art. 51 pkt 6 zmieniony przez </w:t>
      </w:r>
      <w:r>
        <w:rPr>
          <w:rFonts w:ascii="Times New Roman"/>
          <w:b w:val="false"/>
          <w:i w:val="false"/>
          <w:color w:val="1b1b1b"/>
          <w:sz w:val="24"/>
          <w:lang w:val="pl-PL"/>
        </w:rPr>
        <w:t>art. 1 pkt 59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381</w:t>
      </w:r>
      <w:r>
        <w:rPr>
          <w:rFonts w:ascii="Times New Roman"/>
          <w:b w:val="false"/>
          <w:i w:val="false"/>
          <w:color w:val="000000"/>
          <w:sz w:val="24"/>
          <w:lang w:val="pl-PL"/>
        </w:rPr>
        <w:t xml:space="preserve"> Art. 51 pkt 7 zmieniony przez </w:t>
      </w:r>
      <w:r>
        <w:rPr>
          <w:rFonts w:ascii="Times New Roman"/>
          <w:b w:val="false"/>
          <w:i w:val="false"/>
          <w:color w:val="1b1b1b"/>
          <w:sz w:val="24"/>
          <w:lang w:val="pl-PL"/>
        </w:rPr>
        <w:t>art. 1 pkt 59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382</w:t>
      </w:r>
      <w:r>
        <w:rPr>
          <w:rFonts w:ascii="Times New Roman"/>
          <w:b w:val="false"/>
          <w:i w:val="false"/>
          <w:color w:val="000000"/>
          <w:sz w:val="24"/>
          <w:lang w:val="pl-PL"/>
        </w:rPr>
        <w:t xml:space="preserve"> Art. 51 pkt 8 zmieniony przez </w:t>
      </w:r>
      <w:r>
        <w:rPr>
          <w:rFonts w:ascii="Times New Roman"/>
          <w:b w:val="false"/>
          <w:i w:val="false"/>
          <w:color w:val="1b1b1b"/>
          <w:sz w:val="24"/>
          <w:lang w:val="pl-PL"/>
        </w:rPr>
        <w:t>art. 1 pkt 59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383</w:t>
      </w:r>
      <w:r>
        <w:rPr>
          <w:rFonts w:ascii="Times New Roman"/>
          <w:b w:val="false"/>
          <w:i w:val="false"/>
          <w:color w:val="000000"/>
          <w:sz w:val="24"/>
          <w:lang w:val="pl-PL"/>
        </w:rPr>
        <w:t xml:space="preserve"> Art. 52 pkt 2 zmieniony przez </w:t>
      </w:r>
      <w:r>
        <w:rPr>
          <w:rFonts w:ascii="Times New Roman"/>
          <w:b w:val="false"/>
          <w:i w:val="false"/>
          <w:color w:val="1b1b1b"/>
          <w:sz w:val="24"/>
          <w:lang w:val="pl-PL"/>
        </w:rPr>
        <w:t>art. 1 pkt 60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384</w:t>
      </w:r>
      <w:r>
        <w:rPr>
          <w:rFonts w:ascii="Times New Roman"/>
          <w:b w:val="false"/>
          <w:i w:val="false"/>
          <w:color w:val="000000"/>
          <w:sz w:val="24"/>
          <w:lang w:val="pl-PL"/>
        </w:rPr>
        <w:t xml:space="preserve"> Art. 52 pkt 4 zmieniony przez </w:t>
      </w:r>
      <w:r>
        <w:rPr>
          <w:rFonts w:ascii="Times New Roman"/>
          <w:b w:val="false"/>
          <w:i w:val="false"/>
          <w:color w:val="1b1b1b"/>
          <w:sz w:val="24"/>
          <w:lang w:val="pl-PL"/>
        </w:rPr>
        <w:t>art. 1 pkt 60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385</w:t>
      </w:r>
      <w:r>
        <w:rPr>
          <w:rFonts w:ascii="Times New Roman"/>
          <w:b w:val="false"/>
          <w:i w:val="false"/>
          <w:color w:val="000000"/>
          <w:sz w:val="24"/>
          <w:lang w:val="pl-PL"/>
        </w:rPr>
        <w:t xml:space="preserve"> Rozdział 10a dodany przez </w:t>
      </w:r>
      <w:r>
        <w:rPr>
          <w:rFonts w:ascii="Times New Roman"/>
          <w:b w:val="false"/>
          <w:i w:val="false"/>
          <w:color w:val="1b1b1b"/>
          <w:sz w:val="24"/>
          <w:lang w:val="pl-PL"/>
        </w:rPr>
        <w:t>art. 1 pkt 61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386</w:t>
      </w:r>
      <w:r>
        <w:rPr>
          <w:rFonts w:ascii="Times New Roman"/>
          <w:b w:val="false"/>
          <w:i w:val="false"/>
          <w:color w:val="000000"/>
          <w:sz w:val="24"/>
          <w:lang w:val="pl-PL"/>
        </w:rPr>
        <w:t xml:space="preserve"> Rozdział 10b dodany przez </w:t>
      </w:r>
      <w:r>
        <w:rPr>
          <w:rFonts w:ascii="Times New Roman"/>
          <w:b w:val="false"/>
          <w:i w:val="false"/>
          <w:color w:val="1b1b1b"/>
          <w:sz w:val="24"/>
          <w:lang w:val="pl-PL"/>
        </w:rPr>
        <w:t>art. 1 pkt 61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387</w:t>
      </w:r>
      <w:r>
        <w:rPr>
          <w:rFonts w:ascii="Times New Roman"/>
          <w:b w:val="false"/>
          <w:i w:val="false"/>
          <w:color w:val="000000"/>
          <w:sz w:val="24"/>
          <w:lang w:val="pl-PL"/>
        </w:rPr>
        <w:t xml:space="preserve"> Rozdział 10c dodany przez </w:t>
      </w:r>
      <w:r>
        <w:rPr>
          <w:rFonts w:ascii="Times New Roman"/>
          <w:b w:val="false"/>
          <w:i w:val="false"/>
          <w:color w:val="1b1b1b"/>
          <w:sz w:val="24"/>
          <w:lang w:val="pl-PL"/>
        </w:rPr>
        <w:t>art. 1 pkt 61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388</w:t>
      </w:r>
      <w:r>
        <w:rPr>
          <w:rFonts w:ascii="Times New Roman"/>
          <w:b w:val="false"/>
          <w:i w:val="false"/>
          <w:color w:val="000000"/>
          <w:sz w:val="24"/>
          <w:lang w:val="pl-PL"/>
        </w:rPr>
        <w:t xml:space="preserve"> Rozdział 11 tytuł zmieniony przez </w:t>
      </w:r>
      <w:r>
        <w:rPr>
          <w:rFonts w:ascii="Times New Roman"/>
          <w:b w:val="false"/>
          <w:i w:val="false"/>
          <w:color w:val="1b1b1b"/>
          <w:sz w:val="24"/>
          <w:lang w:val="pl-PL"/>
        </w:rPr>
        <w:t>art. 1 pkt 62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389</w:t>
      </w:r>
      <w:r>
        <w:rPr>
          <w:rFonts w:ascii="Times New Roman"/>
          <w:b w:val="false"/>
          <w:i w:val="false"/>
          <w:color w:val="000000"/>
          <w:sz w:val="24"/>
          <w:lang w:val="pl-PL"/>
        </w:rPr>
        <w:t xml:space="preserve"> Art. 53 zmieniony przez </w:t>
      </w:r>
      <w:r>
        <w:rPr>
          <w:rFonts w:ascii="Times New Roman"/>
          <w:b w:val="false"/>
          <w:i w:val="false"/>
          <w:color w:val="1b1b1b"/>
          <w:sz w:val="24"/>
          <w:lang w:val="pl-PL"/>
        </w:rPr>
        <w:t>art. 1 pkt 63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390</w:t>
      </w:r>
      <w:r>
        <w:rPr>
          <w:rFonts w:ascii="Times New Roman"/>
          <w:b w:val="false"/>
          <w:i w:val="false"/>
          <w:color w:val="000000"/>
          <w:sz w:val="24"/>
          <w:lang w:val="pl-PL"/>
        </w:rPr>
        <w:t xml:space="preserve"> Art. 53a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391</w:t>
      </w:r>
      <w:r>
        <w:rPr>
          <w:rFonts w:ascii="Times New Roman"/>
          <w:b w:val="false"/>
          <w:i w:val="false"/>
          <w:color w:val="000000"/>
          <w:sz w:val="24"/>
          <w:lang w:val="pl-PL"/>
        </w:rPr>
        <w:t xml:space="preserve"> Art. 53b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392</w:t>
      </w:r>
      <w:r>
        <w:rPr>
          <w:rFonts w:ascii="Times New Roman"/>
          <w:b w:val="false"/>
          <w:i w:val="false"/>
          <w:color w:val="000000"/>
          <w:sz w:val="24"/>
          <w:lang w:val="pl-PL"/>
        </w:rPr>
        <w:t xml:space="preserve"> Art. 53c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393</w:t>
      </w:r>
      <w:r>
        <w:rPr>
          <w:rFonts w:ascii="Times New Roman"/>
          <w:b w:val="false"/>
          <w:i w:val="false"/>
          <w:color w:val="000000"/>
          <w:sz w:val="24"/>
          <w:lang w:val="pl-PL"/>
        </w:rPr>
        <w:t xml:space="preserve"> Art. 53d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394</w:t>
      </w:r>
      <w:r>
        <w:rPr>
          <w:rFonts w:ascii="Times New Roman"/>
          <w:b w:val="false"/>
          <w:i w:val="false"/>
          <w:color w:val="000000"/>
          <w:sz w:val="24"/>
          <w:lang w:val="pl-PL"/>
        </w:rPr>
        <w:t xml:space="preserve"> Art. 53e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395</w:t>
      </w:r>
      <w:r>
        <w:rPr>
          <w:rFonts w:ascii="Times New Roman"/>
          <w:b w:val="false"/>
          <w:i w:val="false"/>
          <w:color w:val="000000"/>
          <w:sz w:val="24"/>
          <w:lang w:val="pl-PL"/>
        </w:rPr>
        <w:t xml:space="preserve"> Art. 53f dodany przez </w:t>
      </w:r>
      <w:r>
        <w:rPr>
          <w:rFonts w:ascii="Times New Roman"/>
          <w:b w:val="false"/>
          <w:i w:val="false"/>
          <w:color w:val="1b1b1b"/>
          <w:sz w:val="24"/>
          <w:lang w:val="pl-PL"/>
        </w:rPr>
        <w:t>art. 1 pkt 64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396</w:t>
      </w:r>
      <w:r>
        <w:rPr>
          <w:rFonts w:ascii="Times New Roman"/>
          <w:b w:val="false"/>
          <w:i w:val="false"/>
          <w:color w:val="000000"/>
          <w:sz w:val="24"/>
          <w:lang w:val="pl-PL"/>
        </w:rPr>
        <w:t xml:space="preserve"> Art. 54 zmieniony przez </w:t>
      </w:r>
      <w:r>
        <w:rPr>
          <w:rFonts w:ascii="Times New Roman"/>
          <w:b w:val="false"/>
          <w:i w:val="false"/>
          <w:color w:val="1b1b1b"/>
          <w:sz w:val="24"/>
          <w:lang w:val="pl-PL"/>
        </w:rPr>
        <w:t>art. 1 pkt 65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397</w:t>
      </w:r>
      <w:r>
        <w:rPr>
          <w:rFonts w:ascii="Times New Roman"/>
          <w:b w:val="false"/>
          <w:i w:val="false"/>
          <w:color w:val="000000"/>
          <w:sz w:val="24"/>
          <w:lang w:val="pl-PL"/>
        </w:rPr>
        <w:t xml:space="preserve"> Art. 56 ust. 3 dodany przez </w:t>
      </w:r>
      <w:r>
        <w:rPr>
          <w:rFonts w:ascii="Times New Roman"/>
          <w:b w:val="false"/>
          <w:i w:val="false"/>
          <w:color w:val="1b1b1b"/>
          <w:sz w:val="24"/>
          <w:lang w:val="pl-PL"/>
        </w:rPr>
        <w:t>art. 1 pkt 66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398</w:t>
      </w:r>
      <w:r>
        <w:rPr>
          <w:rFonts w:ascii="Times New Roman"/>
          <w:b w:val="false"/>
          <w:i w:val="false"/>
          <w:color w:val="000000"/>
          <w:sz w:val="24"/>
          <w:lang w:val="pl-PL"/>
        </w:rPr>
        <w:t xml:space="preserve"> Art. 56 ust. 4 dodany przez </w:t>
      </w:r>
      <w:r>
        <w:rPr>
          <w:rFonts w:ascii="Times New Roman"/>
          <w:b w:val="false"/>
          <w:i w:val="false"/>
          <w:color w:val="1b1b1b"/>
          <w:sz w:val="24"/>
          <w:lang w:val="pl-PL"/>
        </w:rPr>
        <w:t>art. 1 pkt 66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399</w:t>
      </w:r>
      <w:r>
        <w:rPr>
          <w:rFonts w:ascii="Times New Roman"/>
          <w:b w:val="false"/>
          <w:i w:val="false"/>
          <w:color w:val="000000"/>
          <w:sz w:val="24"/>
          <w:lang w:val="pl-PL"/>
        </w:rPr>
        <w:t xml:space="preserve"> Art. 58 ust. 4 zmieniony przez </w:t>
      </w:r>
      <w:r>
        <w:rPr>
          <w:rFonts w:ascii="Times New Roman"/>
          <w:b w:val="false"/>
          <w:i w:val="false"/>
          <w:color w:val="1b1b1b"/>
          <w:sz w:val="24"/>
          <w:lang w:val="pl-PL"/>
        </w:rPr>
        <w:t>art. 1 pkt 67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400</w:t>
      </w:r>
      <w:r>
        <w:rPr>
          <w:rFonts w:ascii="Times New Roman"/>
          <w:b w:val="false"/>
          <w:i w:val="false"/>
          <w:color w:val="000000"/>
          <w:sz w:val="24"/>
          <w:lang w:val="pl-PL"/>
        </w:rPr>
        <w:t xml:space="preserve"> Art. 58 ust. 5 zmieniony przez </w:t>
      </w:r>
      <w:r>
        <w:rPr>
          <w:rFonts w:ascii="Times New Roman"/>
          <w:b w:val="false"/>
          <w:i w:val="false"/>
          <w:color w:val="1b1b1b"/>
          <w:sz w:val="24"/>
          <w:lang w:val="pl-PL"/>
        </w:rPr>
        <w:t>art. 1 pkt 67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401</w:t>
      </w:r>
      <w:r>
        <w:rPr>
          <w:rFonts w:ascii="Times New Roman"/>
          <w:b w:val="false"/>
          <w:i w:val="false"/>
          <w:color w:val="000000"/>
          <w:sz w:val="24"/>
          <w:lang w:val="pl-PL"/>
        </w:rPr>
        <w:t xml:space="preserve"> Art. 58 ust. 6 zmieniony przez </w:t>
      </w:r>
      <w:r>
        <w:rPr>
          <w:rFonts w:ascii="Times New Roman"/>
          <w:b w:val="false"/>
          <w:i w:val="false"/>
          <w:color w:val="1b1b1b"/>
          <w:sz w:val="24"/>
          <w:lang w:val="pl-PL"/>
        </w:rPr>
        <w:t>art. 1 pkt 67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402</w:t>
      </w:r>
      <w:r>
        <w:rPr>
          <w:rFonts w:ascii="Times New Roman"/>
          <w:b w:val="false"/>
          <w:i w:val="false"/>
          <w:color w:val="000000"/>
          <w:sz w:val="24"/>
          <w:lang w:val="pl-PL"/>
        </w:rPr>
        <w:t xml:space="preserve"> Art. 58 ust. 7 zmieniony przez </w:t>
      </w:r>
      <w:r>
        <w:rPr>
          <w:rFonts w:ascii="Times New Roman"/>
          <w:b w:val="false"/>
          <w:i w:val="false"/>
          <w:color w:val="1b1b1b"/>
          <w:sz w:val="24"/>
          <w:lang w:val="pl-PL"/>
        </w:rPr>
        <w:t>art. 1 pkt 67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403</w:t>
      </w:r>
      <w:r>
        <w:rPr>
          <w:rFonts w:ascii="Times New Roman"/>
          <w:b w:val="false"/>
          <w:i w:val="false"/>
          <w:color w:val="000000"/>
          <w:sz w:val="24"/>
          <w:lang w:val="pl-PL"/>
        </w:rPr>
        <w:t xml:space="preserve"> Art. 58 ust. 8 zmieniony przez </w:t>
      </w:r>
      <w:r>
        <w:rPr>
          <w:rFonts w:ascii="Times New Roman"/>
          <w:b w:val="false"/>
          <w:i w:val="false"/>
          <w:color w:val="1b1b1b"/>
          <w:sz w:val="24"/>
          <w:lang w:val="pl-PL"/>
        </w:rPr>
        <w:t>art. 1 pkt 67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404</w:t>
      </w:r>
      <w:r>
        <w:rPr>
          <w:rFonts w:ascii="Times New Roman"/>
          <w:b w:val="false"/>
          <w:i w:val="false"/>
          <w:color w:val="000000"/>
          <w:sz w:val="24"/>
          <w:lang w:val="pl-PL"/>
        </w:rPr>
        <w:t xml:space="preserve"> Art. 58 ust. 9 dodany przez </w:t>
      </w:r>
      <w:r>
        <w:rPr>
          <w:rFonts w:ascii="Times New Roman"/>
          <w:b w:val="false"/>
          <w:i w:val="false"/>
          <w:color w:val="1b1b1b"/>
          <w:sz w:val="24"/>
          <w:lang w:val="pl-PL"/>
        </w:rPr>
        <w:t>art. 1 pkt 67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405</w:t>
      </w:r>
      <w:r>
        <w:rPr>
          <w:rFonts w:ascii="Times New Roman"/>
          <w:b w:val="false"/>
          <w:i w:val="false"/>
          <w:color w:val="000000"/>
          <w:sz w:val="24"/>
          <w:lang w:val="pl-PL"/>
        </w:rPr>
        <w:t xml:space="preserve"> Art. 58 ust. 10 dodany przez </w:t>
      </w:r>
      <w:r>
        <w:rPr>
          <w:rFonts w:ascii="Times New Roman"/>
          <w:b w:val="false"/>
          <w:i w:val="false"/>
          <w:color w:val="1b1b1b"/>
          <w:sz w:val="24"/>
          <w:lang w:val="pl-PL"/>
        </w:rPr>
        <w:t>art. 1 pkt 67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406</w:t>
      </w:r>
      <w:r>
        <w:rPr>
          <w:rFonts w:ascii="Times New Roman"/>
          <w:b w:val="false"/>
          <w:i w:val="false"/>
          <w:color w:val="000000"/>
          <w:sz w:val="24"/>
          <w:lang w:val="pl-PL"/>
        </w:rPr>
        <w:t xml:space="preserve"> Art. 58 ust. 11 dodany przez </w:t>
      </w:r>
      <w:r>
        <w:rPr>
          <w:rFonts w:ascii="Times New Roman"/>
          <w:b w:val="false"/>
          <w:i w:val="false"/>
          <w:color w:val="1b1b1b"/>
          <w:sz w:val="24"/>
          <w:lang w:val="pl-PL"/>
        </w:rPr>
        <w:t>art. 1 pkt 67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407</w:t>
      </w:r>
      <w:r>
        <w:rPr>
          <w:rFonts w:ascii="Times New Roman"/>
          <w:b w:val="false"/>
          <w:i w:val="false"/>
          <w:color w:val="000000"/>
          <w:sz w:val="24"/>
          <w:lang w:val="pl-PL"/>
        </w:rPr>
        <w:t xml:space="preserve"> Art. 59 ust. 1 zmieniony przez </w:t>
      </w:r>
      <w:r>
        <w:rPr>
          <w:rFonts w:ascii="Times New Roman"/>
          <w:b w:val="false"/>
          <w:i w:val="false"/>
          <w:color w:val="1b1b1b"/>
          <w:sz w:val="24"/>
          <w:lang w:val="pl-PL"/>
        </w:rPr>
        <w:t>art. 1 pkt 68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408</w:t>
      </w:r>
      <w:r>
        <w:rPr>
          <w:rFonts w:ascii="Times New Roman"/>
          <w:b w:val="false"/>
          <w:i w:val="false"/>
          <w:color w:val="000000"/>
          <w:sz w:val="24"/>
          <w:lang w:val="pl-PL"/>
        </w:rPr>
        <w:t xml:space="preserve"> Art. 59 ust. 3 zmieniony przez </w:t>
      </w:r>
      <w:r>
        <w:rPr>
          <w:rFonts w:ascii="Times New Roman"/>
          <w:b w:val="false"/>
          <w:i w:val="false"/>
          <w:color w:val="1b1b1b"/>
          <w:sz w:val="24"/>
          <w:lang w:val="pl-PL"/>
        </w:rPr>
        <w:t>art. 1 pkt 68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409</w:t>
      </w:r>
      <w:r>
        <w:rPr>
          <w:rFonts w:ascii="Times New Roman"/>
          <w:b w:val="false"/>
          <w:i w:val="false"/>
          <w:color w:val="000000"/>
          <w:sz w:val="24"/>
          <w:lang w:val="pl-PL"/>
        </w:rPr>
        <w:t xml:space="preserve"> Art. 59a dodany przez </w:t>
      </w:r>
      <w:r>
        <w:rPr>
          <w:rFonts w:ascii="Times New Roman"/>
          <w:b w:val="false"/>
          <w:i w:val="false"/>
          <w:color w:val="1b1b1b"/>
          <w:sz w:val="24"/>
          <w:lang w:val="pl-PL"/>
        </w:rPr>
        <w:t>art. 1 pkt 69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410</w:t>
      </w:r>
      <w:r>
        <w:rPr>
          <w:rFonts w:ascii="Times New Roman"/>
          <w:b w:val="false"/>
          <w:i w:val="false"/>
          <w:color w:val="000000"/>
          <w:sz w:val="24"/>
          <w:lang w:val="pl-PL"/>
        </w:rPr>
        <w:t xml:space="preserve"> Art. 59b dodany przez </w:t>
      </w:r>
      <w:r>
        <w:rPr>
          <w:rFonts w:ascii="Times New Roman"/>
          <w:b w:val="false"/>
          <w:i w:val="false"/>
          <w:color w:val="1b1b1b"/>
          <w:sz w:val="24"/>
          <w:lang w:val="pl-PL"/>
        </w:rPr>
        <w:t>art. 1 pkt 69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411</w:t>
      </w:r>
      <w:r>
        <w:rPr>
          <w:rFonts w:ascii="Times New Roman"/>
          <w:b w:val="false"/>
          <w:i w:val="false"/>
          <w:color w:val="000000"/>
          <w:sz w:val="24"/>
          <w:lang w:val="pl-PL"/>
        </w:rPr>
        <w:t xml:space="preserve"> Art. 59c dodany przez </w:t>
      </w:r>
      <w:r>
        <w:rPr>
          <w:rFonts w:ascii="Times New Roman"/>
          <w:b w:val="false"/>
          <w:i w:val="false"/>
          <w:color w:val="1b1b1b"/>
          <w:sz w:val="24"/>
          <w:lang w:val="pl-PL"/>
        </w:rPr>
        <w:t>art. 1 pkt 69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412</w:t>
      </w:r>
      <w:r>
        <w:rPr>
          <w:rFonts w:ascii="Times New Roman"/>
          <w:b w:val="false"/>
          <w:i w:val="false"/>
          <w:color w:val="000000"/>
          <w:sz w:val="24"/>
          <w:lang w:val="pl-PL"/>
        </w:rPr>
        <w:t xml:space="preserve"> Art. 61 ust. 3 zmieniony przez </w:t>
      </w:r>
      <w:r>
        <w:rPr>
          <w:rFonts w:ascii="Times New Roman"/>
          <w:b w:val="false"/>
          <w:i w:val="false"/>
          <w:color w:val="1b1b1b"/>
          <w:sz w:val="24"/>
          <w:lang w:val="pl-PL"/>
        </w:rPr>
        <w:t>art. 1 pkt 70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413</w:t>
      </w:r>
      <w:r>
        <w:rPr>
          <w:rFonts w:ascii="Times New Roman"/>
          <w:b w:val="false"/>
          <w:i w:val="false"/>
          <w:color w:val="000000"/>
          <w:sz w:val="24"/>
          <w:lang w:val="pl-PL"/>
        </w:rPr>
        <w:t xml:space="preserve"> Art. 62 ust. 1 pkt 1 zmieniony przez </w:t>
      </w:r>
      <w:r>
        <w:rPr>
          <w:rFonts w:ascii="Times New Roman"/>
          <w:b w:val="false"/>
          <w:i w:val="false"/>
          <w:color w:val="1b1b1b"/>
          <w:sz w:val="24"/>
          <w:lang w:val="pl-PL"/>
        </w:rPr>
        <w:t>art. 1 pkt 71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414</w:t>
      </w:r>
      <w:r>
        <w:rPr>
          <w:rFonts w:ascii="Times New Roman"/>
          <w:b w:val="false"/>
          <w:i w:val="false"/>
          <w:color w:val="000000"/>
          <w:sz w:val="24"/>
          <w:lang w:val="pl-PL"/>
        </w:rPr>
        <w:t xml:space="preserve"> Art. 62 ust. 2 pkt 3 zmieniony przez </w:t>
      </w:r>
      <w:r>
        <w:rPr>
          <w:rFonts w:ascii="Times New Roman"/>
          <w:b w:val="false"/>
          <w:i w:val="false"/>
          <w:color w:val="1b1b1b"/>
          <w:sz w:val="24"/>
          <w:lang w:val="pl-PL"/>
        </w:rPr>
        <w:t>art. 1 pkt 71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415</w:t>
      </w:r>
      <w:r>
        <w:rPr>
          <w:rFonts w:ascii="Times New Roman"/>
          <w:b w:val="false"/>
          <w:i w:val="false"/>
          <w:color w:val="000000"/>
          <w:sz w:val="24"/>
          <w:lang w:val="pl-PL"/>
        </w:rPr>
        <w:t xml:space="preserve"> Art. 62 ust. 3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416</w:t>
      </w:r>
      <w:r>
        <w:rPr>
          <w:rFonts w:ascii="Times New Roman"/>
          <w:b w:val="false"/>
          <w:i w:val="false"/>
          <w:color w:val="000000"/>
          <w:sz w:val="24"/>
          <w:lang w:val="pl-PL"/>
        </w:rPr>
        <w:t xml:space="preserve"> Art. 62 ust. 4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417</w:t>
      </w:r>
      <w:r>
        <w:rPr>
          <w:rFonts w:ascii="Times New Roman"/>
          <w:b w:val="false"/>
          <w:i w:val="false"/>
          <w:color w:val="000000"/>
          <w:sz w:val="24"/>
          <w:lang w:val="pl-PL"/>
        </w:rPr>
        <w:t xml:space="preserve"> Art. 62 ust. 5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418</w:t>
      </w:r>
      <w:r>
        <w:rPr>
          <w:rFonts w:ascii="Times New Roman"/>
          <w:b w:val="false"/>
          <w:i w:val="false"/>
          <w:color w:val="000000"/>
          <w:sz w:val="24"/>
          <w:lang w:val="pl-PL"/>
        </w:rPr>
        <w:t xml:space="preserve"> Art. 62 ust. 6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419</w:t>
      </w:r>
      <w:r>
        <w:rPr>
          <w:rFonts w:ascii="Times New Roman"/>
          <w:b w:val="false"/>
          <w:i w:val="false"/>
          <w:color w:val="000000"/>
          <w:sz w:val="24"/>
          <w:lang w:val="pl-PL"/>
        </w:rPr>
        <w:t xml:space="preserve"> Art. 62 ust. 7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420</w:t>
      </w:r>
      <w:r>
        <w:rPr>
          <w:rFonts w:ascii="Times New Roman"/>
          <w:b w:val="false"/>
          <w:i w:val="false"/>
          <w:color w:val="000000"/>
          <w:sz w:val="24"/>
          <w:lang w:val="pl-PL"/>
        </w:rPr>
        <w:t xml:space="preserve"> Art. 62 ust. 8 dodany przez </w:t>
      </w:r>
      <w:r>
        <w:rPr>
          <w:rFonts w:ascii="Times New Roman"/>
          <w:b w:val="false"/>
          <w:i w:val="false"/>
          <w:color w:val="1b1b1b"/>
          <w:sz w:val="24"/>
          <w:lang w:val="pl-PL"/>
        </w:rPr>
        <w:t>art. 1 pkt 71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421</w:t>
      </w:r>
      <w:r>
        <w:rPr>
          <w:rFonts w:ascii="Times New Roman"/>
          <w:b w:val="false"/>
          <w:i w:val="false"/>
          <w:color w:val="000000"/>
          <w:sz w:val="24"/>
          <w:lang w:val="pl-PL"/>
        </w:rPr>
        <w:t xml:space="preserve"> Art. 62a dodany przez </w:t>
      </w:r>
      <w:r>
        <w:rPr>
          <w:rFonts w:ascii="Times New Roman"/>
          <w:b w:val="false"/>
          <w:i w:val="false"/>
          <w:color w:val="1b1b1b"/>
          <w:sz w:val="24"/>
          <w:lang w:val="pl-PL"/>
        </w:rPr>
        <w:t>art. 1 pkt 72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422</w:t>
      </w:r>
      <w:r>
        <w:rPr>
          <w:rFonts w:ascii="Times New Roman"/>
          <w:b w:val="false"/>
          <w:i w:val="false"/>
          <w:color w:val="000000"/>
          <w:sz w:val="24"/>
          <w:lang w:val="pl-PL"/>
        </w:rPr>
        <w:t xml:space="preserve"> Art. 64 zmieniony przez </w:t>
      </w:r>
      <w:r>
        <w:rPr>
          <w:rFonts w:ascii="Times New Roman"/>
          <w:b w:val="false"/>
          <w:i w:val="false"/>
          <w:color w:val="1b1b1b"/>
          <w:sz w:val="24"/>
          <w:lang w:val="pl-PL"/>
        </w:rPr>
        <w:t>art. 1 pkt 42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423</w:t>
      </w:r>
      <w:r>
        <w:rPr>
          <w:rFonts w:ascii="Times New Roman"/>
          <w:b w:val="false"/>
          <w:i w:val="false"/>
          <w:color w:val="000000"/>
          <w:sz w:val="24"/>
          <w:lang w:val="pl-PL"/>
        </w:rPr>
        <w:t xml:space="preserve"> Art. 65 ust. 1 pkt 1 zmieniony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424</w:t>
      </w:r>
      <w:r>
        <w:rPr>
          <w:rFonts w:ascii="Times New Roman"/>
          <w:b w:val="false"/>
          <w:i w:val="false"/>
          <w:color w:val="000000"/>
          <w:sz w:val="24"/>
          <w:lang w:val="pl-PL"/>
        </w:rPr>
        <w:t xml:space="preserve"> Art. 65 ust. 1 pkt 2 zmieniony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425</w:t>
      </w:r>
      <w:r>
        <w:rPr>
          <w:rFonts w:ascii="Times New Roman"/>
          <w:b w:val="false"/>
          <w:i w:val="false"/>
          <w:color w:val="000000"/>
          <w:sz w:val="24"/>
          <w:lang w:val="pl-PL"/>
        </w:rPr>
        <w:t xml:space="preserve"> Art. 65 ust. 1 pkt 3 zmieniony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trzecie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426</w:t>
      </w:r>
      <w:r>
        <w:rPr>
          <w:rFonts w:ascii="Times New Roman"/>
          <w:b w:val="false"/>
          <w:i w:val="false"/>
          <w:color w:val="000000"/>
          <w:sz w:val="24"/>
          <w:lang w:val="pl-PL"/>
        </w:rPr>
        <w:t xml:space="preserve"> Art. 65 ust. 1 pkt 4 zmieniony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czwarte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427</w:t>
      </w:r>
      <w:r>
        <w:rPr>
          <w:rFonts w:ascii="Times New Roman"/>
          <w:b w:val="false"/>
          <w:i w:val="false"/>
          <w:color w:val="000000"/>
          <w:sz w:val="24"/>
          <w:lang w:val="pl-PL"/>
        </w:rPr>
        <w:t xml:space="preserve"> Art. 65 ust. 1 pkt 8 zmieniony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piąte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428</w:t>
      </w:r>
      <w:r>
        <w:rPr>
          <w:rFonts w:ascii="Times New Roman"/>
          <w:b w:val="false"/>
          <w:i w:val="false"/>
          <w:color w:val="000000"/>
          <w:sz w:val="24"/>
          <w:lang w:val="pl-PL"/>
        </w:rPr>
        <w:t xml:space="preserve"> Art. 65 ust. 1 pkt 9 dodany przez </w:t>
      </w:r>
      <w:r>
        <w:rPr>
          <w:rFonts w:ascii="Times New Roman"/>
          <w:b w:val="false"/>
          <w:i w:val="false"/>
          <w:color w:val="1b1b1b"/>
          <w:sz w:val="24"/>
          <w:lang w:val="pl-PL"/>
        </w:rPr>
        <w:t>art. 1 pkt 73 lit. a</w:t>
      </w:r>
      <w:r>
        <w:rPr>
          <w:rFonts w:ascii="Times New Roman"/>
          <w:b w:val="false"/>
          <w:i w:val="false"/>
          <w:color w:val="000000"/>
          <w:sz w:val="24"/>
          <w:lang w:val="pl-PL"/>
        </w:rPr>
        <w:t xml:space="preserve"> tiret szóste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429</w:t>
      </w:r>
      <w:r>
        <w:rPr>
          <w:rFonts w:ascii="Times New Roman"/>
          <w:b w:val="false"/>
          <w:i w:val="false"/>
          <w:color w:val="000000"/>
          <w:sz w:val="24"/>
          <w:lang w:val="pl-PL"/>
        </w:rPr>
        <w:t xml:space="preserve"> Art. 65 ust. 2 zmieniony przez </w:t>
      </w:r>
      <w:r>
        <w:rPr>
          <w:rFonts w:ascii="Times New Roman"/>
          <w:b w:val="false"/>
          <w:i w:val="false"/>
          <w:color w:val="1b1b1b"/>
          <w:sz w:val="24"/>
          <w:lang w:val="pl-PL"/>
        </w:rPr>
        <w:t>art. 1 pkt 73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430</w:t>
      </w:r>
      <w:r>
        <w:rPr>
          <w:rFonts w:ascii="Times New Roman"/>
          <w:b w:val="false"/>
          <w:i w:val="false"/>
          <w:color w:val="000000"/>
          <w:sz w:val="24"/>
          <w:lang w:val="pl-PL"/>
        </w:rPr>
        <w:t xml:space="preserve"> Art. 65a dodany przez </w:t>
      </w:r>
      <w:r>
        <w:rPr>
          <w:rFonts w:ascii="Times New Roman"/>
          <w:b w:val="false"/>
          <w:i w:val="false"/>
          <w:color w:val="1b1b1b"/>
          <w:sz w:val="24"/>
          <w:lang w:val="pl-PL"/>
        </w:rPr>
        <w:t>art. 1 pkt 74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431</w:t>
      </w:r>
      <w:r>
        <w:rPr>
          <w:rFonts w:ascii="Times New Roman"/>
          <w:b w:val="false"/>
          <w:i w:val="false"/>
          <w:color w:val="000000"/>
          <w:sz w:val="24"/>
          <w:lang w:val="pl-PL"/>
        </w:rPr>
        <w:t xml:space="preserve"> Art. 66 ust. 1 pkt 4 lit. h dodana przez </w:t>
      </w:r>
      <w:r>
        <w:rPr>
          <w:rFonts w:ascii="Times New Roman"/>
          <w:b w:val="false"/>
          <w:i w:val="false"/>
          <w:color w:val="1b1b1b"/>
          <w:sz w:val="24"/>
          <w:lang w:val="pl-PL"/>
        </w:rPr>
        <w:t>art. 1 pkt 75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432</w:t>
      </w:r>
      <w:r>
        <w:rPr>
          <w:rFonts w:ascii="Times New Roman"/>
          <w:b w:val="false"/>
          <w:i w:val="false"/>
          <w:color w:val="000000"/>
          <w:sz w:val="24"/>
          <w:lang w:val="pl-PL"/>
        </w:rPr>
        <w:t xml:space="preserve"> Art. 66 ust. 3 zmieniony przez </w:t>
      </w:r>
      <w:r>
        <w:rPr>
          <w:rFonts w:ascii="Times New Roman"/>
          <w:b w:val="false"/>
          <w:i w:val="false"/>
          <w:color w:val="1b1b1b"/>
          <w:sz w:val="24"/>
          <w:lang w:val="pl-PL"/>
        </w:rPr>
        <w:t>art. 1 pkt 75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433</w:t>
      </w:r>
      <w:r>
        <w:rPr>
          <w:rFonts w:ascii="Times New Roman"/>
          <w:b w:val="false"/>
          <w:i w:val="false"/>
          <w:color w:val="000000"/>
          <w:sz w:val="24"/>
          <w:lang w:val="pl-PL"/>
        </w:rPr>
        <w:t xml:space="preserve"> Art. 66 ust. 4 pkt 1 zmieniony przez </w:t>
      </w:r>
      <w:r>
        <w:rPr>
          <w:rFonts w:ascii="Times New Roman"/>
          <w:b w:val="false"/>
          <w:i w:val="false"/>
          <w:color w:val="1b1b1b"/>
          <w:sz w:val="24"/>
          <w:lang w:val="pl-PL"/>
        </w:rPr>
        <w:t>art. 1 pkt 75 lit. c</w:t>
      </w:r>
      <w:r>
        <w:rPr>
          <w:rFonts w:ascii="Times New Roman"/>
          <w:b w:val="false"/>
          <w:i w:val="false"/>
          <w:color w:val="000000"/>
          <w:sz w:val="24"/>
          <w:lang w:val="pl-PL"/>
        </w:rPr>
        <w:t xml:space="preserve"> tiret pierwsze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434</w:t>
      </w:r>
      <w:r>
        <w:rPr>
          <w:rFonts w:ascii="Times New Roman"/>
          <w:b w:val="false"/>
          <w:i w:val="false"/>
          <w:color w:val="000000"/>
          <w:sz w:val="24"/>
          <w:lang w:val="pl-PL"/>
        </w:rPr>
        <w:t xml:space="preserve"> Art. 66 ust. 4 pkt 6 dodany przez </w:t>
      </w:r>
      <w:r>
        <w:rPr>
          <w:rFonts w:ascii="Times New Roman"/>
          <w:b w:val="false"/>
          <w:i w:val="false"/>
          <w:color w:val="1b1b1b"/>
          <w:sz w:val="24"/>
          <w:lang w:val="pl-PL"/>
        </w:rPr>
        <w:t>art. 1 pkt 75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435</w:t>
      </w:r>
      <w:r>
        <w:rPr>
          <w:rFonts w:ascii="Times New Roman"/>
          <w:b w:val="false"/>
          <w:i w:val="false"/>
          <w:color w:val="000000"/>
          <w:sz w:val="24"/>
          <w:lang w:val="pl-PL"/>
        </w:rPr>
        <w:t xml:space="preserve"> Art. 66 ust. 4 pkt 7 dodany przez </w:t>
      </w:r>
      <w:r>
        <w:rPr>
          <w:rFonts w:ascii="Times New Roman"/>
          <w:b w:val="false"/>
          <w:i w:val="false"/>
          <w:color w:val="1b1b1b"/>
          <w:sz w:val="24"/>
          <w:lang w:val="pl-PL"/>
        </w:rPr>
        <w:t>art. 1 pkt 75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436</w:t>
      </w:r>
      <w:r>
        <w:rPr>
          <w:rFonts w:ascii="Times New Roman"/>
          <w:b w:val="false"/>
          <w:i w:val="false"/>
          <w:color w:val="000000"/>
          <w:sz w:val="24"/>
          <w:lang w:val="pl-PL"/>
        </w:rPr>
        <w:t xml:space="preserve"> Art. 66 ust. 4 pkt 8 dodany przez </w:t>
      </w:r>
      <w:r>
        <w:rPr>
          <w:rFonts w:ascii="Times New Roman"/>
          <w:b w:val="false"/>
          <w:i w:val="false"/>
          <w:color w:val="1b1b1b"/>
          <w:sz w:val="24"/>
          <w:lang w:val="pl-PL"/>
        </w:rPr>
        <w:t>art. 1 pkt 75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437</w:t>
      </w:r>
      <w:r>
        <w:rPr>
          <w:rFonts w:ascii="Times New Roman"/>
          <w:b w:val="false"/>
          <w:i w:val="false"/>
          <w:color w:val="000000"/>
          <w:sz w:val="24"/>
          <w:lang w:val="pl-PL"/>
        </w:rPr>
        <w:t xml:space="preserve"> Art. 66 ust. 4 pkt 9 dodany przez </w:t>
      </w:r>
      <w:r>
        <w:rPr>
          <w:rFonts w:ascii="Times New Roman"/>
          <w:b w:val="false"/>
          <w:i w:val="false"/>
          <w:color w:val="1b1b1b"/>
          <w:sz w:val="24"/>
          <w:lang w:val="pl-PL"/>
        </w:rPr>
        <w:t>art. 1 pkt 75 lit. c</w:t>
      </w:r>
      <w:r>
        <w:rPr>
          <w:rFonts w:ascii="Times New Roman"/>
          <w:b w:val="false"/>
          <w:i w:val="false"/>
          <w:color w:val="000000"/>
          <w:sz w:val="24"/>
          <w:lang w:val="pl-PL"/>
        </w:rPr>
        <w:t xml:space="preserve"> tiret drugie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438</w:t>
      </w:r>
      <w:r>
        <w:rPr>
          <w:rFonts w:ascii="Times New Roman"/>
          <w:b w:val="false"/>
          <w:i w:val="false"/>
          <w:color w:val="000000"/>
          <w:sz w:val="24"/>
          <w:lang w:val="pl-PL"/>
        </w:rPr>
        <w:t xml:space="preserve"> Art. 66 ust. 5 pkt 3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439</w:t>
      </w:r>
      <w:r>
        <w:rPr>
          <w:rFonts w:ascii="Times New Roman"/>
          <w:b w:val="false"/>
          <w:i w:val="false"/>
          <w:color w:val="000000"/>
          <w:sz w:val="24"/>
          <w:lang w:val="pl-PL"/>
        </w:rPr>
        <w:t xml:space="preserve"> Art. 66 ust. 5 pkt 4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440</w:t>
      </w:r>
      <w:r>
        <w:rPr>
          <w:rFonts w:ascii="Times New Roman"/>
          <w:b w:val="false"/>
          <w:i w:val="false"/>
          <w:color w:val="000000"/>
          <w:sz w:val="24"/>
          <w:lang w:val="pl-PL"/>
        </w:rPr>
        <w:t xml:space="preserve"> Art. 66 ust. 5 pkt 5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441</w:t>
      </w:r>
      <w:r>
        <w:rPr>
          <w:rFonts w:ascii="Times New Roman"/>
          <w:b w:val="false"/>
          <w:i w:val="false"/>
          <w:color w:val="000000"/>
          <w:sz w:val="24"/>
          <w:lang w:val="pl-PL"/>
        </w:rPr>
        <w:t xml:space="preserve"> Art. 66 ust. 5 pkt 6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442</w:t>
      </w:r>
      <w:r>
        <w:rPr>
          <w:rFonts w:ascii="Times New Roman"/>
          <w:b w:val="false"/>
          <w:i w:val="false"/>
          <w:color w:val="000000"/>
          <w:sz w:val="24"/>
          <w:lang w:val="pl-PL"/>
        </w:rPr>
        <w:t xml:space="preserve"> Art. 66 ust. 5 pkt 7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443</w:t>
      </w:r>
      <w:r>
        <w:rPr>
          <w:rFonts w:ascii="Times New Roman"/>
          <w:b w:val="false"/>
          <w:i w:val="false"/>
          <w:color w:val="000000"/>
          <w:sz w:val="24"/>
          <w:lang w:val="pl-PL"/>
        </w:rPr>
        <w:t xml:space="preserve"> Art. 66 ust. 5 pkt 8 dodany przez </w:t>
      </w:r>
      <w:r>
        <w:rPr>
          <w:rFonts w:ascii="Times New Roman"/>
          <w:b w:val="false"/>
          <w:i w:val="false"/>
          <w:color w:val="1b1b1b"/>
          <w:sz w:val="24"/>
          <w:lang w:val="pl-PL"/>
        </w:rPr>
        <w:t>art. 1 pkt 75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444</w:t>
      </w:r>
      <w:r>
        <w:rPr>
          <w:rFonts w:ascii="Times New Roman"/>
          <w:b w:val="false"/>
          <w:i w:val="false"/>
          <w:color w:val="000000"/>
          <w:sz w:val="24"/>
          <w:lang w:val="pl-PL"/>
        </w:rPr>
        <w:t xml:space="preserve"> Art. 66 ust. 5a dodany przez </w:t>
      </w:r>
      <w:r>
        <w:rPr>
          <w:rFonts w:ascii="Times New Roman"/>
          <w:b w:val="false"/>
          <w:i w:val="false"/>
          <w:color w:val="1b1b1b"/>
          <w:sz w:val="24"/>
          <w:lang w:val="pl-PL"/>
        </w:rPr>
        <w:t>art. 1 pkt 75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445</w:t>
      </w:r>
      <w:r>
        <w:rPr>
          <w:rFonts w:ascii="Times New Roman"/>
          <w:b w:val="false"/>
          <w:i w:val="false"/>
          <w:color w:val="000000"/>
          <w:sz w:val="24"/>
          <w:lang w:val="pl-PL"/>
        </w:rPr>
        <w:t xml:space="preserve"> Art. 66 ust. 7 zmieniony przez </w:t>
      </w:r>
      <w:r>
        <w:rPr>
          <w:rFonts w:ascii="Times New Roman"/>
          <w:b w:val="false"/>
          <w:i w:val="false"/>
          <w:color w:val="1b1b1b"/>
          <w:sz w:val="24"/>
          <w:lang w:val="pl-PL"/>
        </w:rPr>
        <w:t>art. 1 pkt 75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446</w:t>
      </w:r>
      <w:r>
        <w:rPr>
          <w:rFonts w:ascii="Times New Roman"/>
          <w:b w:val="false"/>
          <w:i w:val="false"/>
          <w:color w:val="000000"/>
          <w:sz w:val="24"/>
          <w:lang w:val="pl-PL"/>
        </w:rPr>
        <w:t xml:space="preserve"> Art. 66 ust. 7a dodany przez </w:t>
      </w:r>
      <w:r>
        <w:rPr>
          <w:rFonts w:ascii="Times New Roman"/>
          <w:b w:val="false"/>
          <w:i w:val="false"/>
          <w:color w:val="1b1b1b"/>
          <w:sz w:val="24"/>
          <w:lang w:val="pl-PL"/>
        </w:rPr>
        <w:t>art. 1 pkt 75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447</w:t>
      </w:r>
      <w:r>
        <w:rPr>
          <w:rFonts w:ascii="Times New Roman"/>
          <w:b w:val="false"/>
          <w:i w:val="false"/>
          <w:color w:val="000000"/>
          <w:sz w:val="24"/>
          <w:lang w:val="pl-PL"/>
        </w:rPr>
        <w:t xml:space="preserve"> Art. 66 ust. 7b dodany przez </w:t>
      </w:r>
      <w:r>
        <w:rPr>
          <w:rFonts w:ascii="Times New Roman"/>
          <w:b w:val="false"/>
          <w:i w:val="false"/>
          <w:color w:val="1b1b1b"/>
          <w:sz w:val="24"/>
          <w:lang w:val="pl-PL"/>
        </w:rPr>
        <w:t>art. 1 pkt 75 lit. g</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448</w:t>
      </w:r>
      <w:r>
        <w:rPr>
          <w:rFonts w:ascii="Times New Roman"/>
          <w:b w:val="false"/>
          <w:i w:val="false"/>
          <w:color w:val="000000"/>
          <w:sz w:val="24"/>
          <w:lang w:val="pl-PL"/>
        </w:rPr>
        <w:t xml:space="preserve"> Rozdział 12a dodany przez </w:t>
      </w:r>
      <w:r>
        <w:rPr>
          <w:rFonts w:ascii="Times New Roman"/>
          <w:b w:val="false"/>
          <w:i w:val="false"/>
          <w:color w:val="1b1b1b"/>
          <w:sz w:val="24"/>
          <w:lang w:val="pl-PL"/>
        </w:rPr>
        <w:t>art. 1 pkt 76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449</w:t>
      </w:r>
      <w:r>
        <w:rPr>
          <w:rFonts w:ascii="Times New Roman"/>
          <w:b w:val="false"/>
          <w:i w:val="false"/>
          <w:color w:val="000000"/>
          <w:sz w:val="24"/>
          <w:lang w:val="pl-PL"/>
        </w:rPr>
        <w:t xml:space="preserve"> Art. 69 zmieniony przez </w:t>
      </w:r>
      <w:r>
        <w:rPr>
          <w:rFonts w:ascii="Times New Roman"/>
          <w:b w:val="false"/>
          <w:i w:val="false"/>
          <w:color w:val="1b1b1b"/>
          <w:sz w:val="24"/>
          <w:lang w:val="pl-PL"/>
        </w:rPr>
        <w:t>art. 1 pkt 77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450</w:t>
      </w:r>
      <w:r>
        <w:rPr>
          <w:rFonts w:ascii="Times New Roman"/>
          <w:b w:val="false"/>
          <w:i w:val="false"/>
          <w:color w:val="000000"/>
          <w:sz w:val="24"/>
          <w:lang w:val="pl-PL"/>
        </w:rPr>
        <w:t xml:space="preserve"> Art. 70 ust. 1 zmieniony przez </w:t>
      </w:r>
      <w:r>
        <w:rPr>
          <w:rFonts w:ascii="Times New Roman"/>
          <w:b w:val="false"/>
          <w:i w:val="false"/>
          <w:color w:val="1b1b1b"/>
          <w:sz w:val="24"/>
          <w:lang w:val="pl-PL"/>
        </w:rPr>
        <w:t>art. 1 pkt 78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451</w:t>
      </w:r>
      <w:r>
        <w:rPr>
          <w:rFonts w:ascii="Times New Roman"/>
          <w:b w:val="false"/>
          <w:i w:val="false"/>
          <w:color w:val="000000"/>
          <w:sz w:val="24"/>
          <w:lang w:val="pl-PL"/>
        </w:rPr>
        <w:t xml:space="preserve"> Art. 70 ust. 3 dodany przez </w:t>
      </w:r>
      <w:r>
        <w:rPr>
          <w:rFonts w:ascii="Times New Roman"/>
          <w:b w:val="false"/>
          <w:i w:val="false"/>
          <w:color w:val="1b1b1b"/>
          <w:sz w:val="24"/>
          <w:lang w:val="pl-PL"/>
        </w:rPr>
        <w:t>art. 1 pkt 78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452</w:t>
      </w:r>
      <w:r>
        <w:rPr>
          <w:rFonts w:ascii="Times New Roman"/>
          <w:b w:val="false"/>
          <w:i w:val="false"/>
          <w:color w:val="000000"/>
          <w:sz w:val="24"/>
          <w:lang w:val="pl-PL"/>
        </w:rPr>
        <w:t xml:space="preserve"> Art. 70a dodany przez </w:t>
      </w:r>
      <w:r>
        <w:rPr>
          <w:rFonts w:ascii="Times New Roman"/>
          <w:b w:val="false"/>
          <w:i w:val="false"/>
          <w:color w:val="1b1b1b"/>
          <w:sz w:val="24"/>
          <w:lang w:val="pl-PL"/>
        </w:rPr>
        <w:t>art. 1 pkt 79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453</w:t>
      </w:r>
      <w:r>
        <w:rPr>
          <w:rFonts w:ascii="Times New Roman"/>
          <w:b w:val="false"/>
          <w:i w:val="false"/>
          <w:color w:val="000000"/>
          <w:sz w:val="24"/>
          <w:lang w:val="pl-PL"/>
        </w:rPr>
        <w:t xml:space="preserve"> Art. 71 zmieniony przez </w:t>
      </w:r>
      <w:r>
        <w:rPr>
          <w:rFonts w:ascii="Times New Roman"/>
          <w:b w:val="false"/>
          <w:i w:val="false"/>
          <w:color w:val="1b1b1b"/>
          <w:sz w:val="24"/>
          <w:lang w:val="pl-PL"/>
        </w:rPr>
        <w:t>art. 1 pkt 80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454</w:t>
      </w:r>
      <w:r>
        <w:rPr>
          <w:rFonts w:ascii="Times New Roman"/>
          <w:b w:val="false"/>
          <w:i w:val="false"/>
          <w:color w:val="000000"/>
          <w:sz w:val="24"/>
          <w:lang w:val="pl-PL"/>
        </w:rPr>
        <w:t xml:space="preserve"> Rozdział 13a dodany przez </w:t>
      </w:r>
      <w:r>
        <w:rPr>
          <w:rFonts w:ascii="Times New Roman"/>
          <w:b w:val="false"/>
          <w:i w:val="false"/>
          <w:color w:val="1b1b1b"/>
          <w:sz w:val="24"/>
          <w:lang w:val="pl-PL"/>
        </w:rPr>
        <w:t>art. 1 pkt 81</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455</w:t>
      </w:r>
      <w:r>
        <w:rPr>
          <w:rFonts w:ascii="Times New Roman"/>
          <w:b w:val="false"/>
          <w:i w:val="false"/>
          <w:color w:val="000000"/>
          <w:sz w:val="24"/>
          <w:lang w:val="pl-PL"/>
        </w:rPr>
        <w:t xml:space="preserve"> Art. 73 ust. 1 zmieniony przez </w:t>
      </w:r>
      <w:r>
        <w:rPr>
          <w:rFonts w:ascii="Times New Roman"/>
          <w:b w:val="false"/>
          <w:i w:val="false"/>
          <w:color w:val="1b1b1b"/>
          <w:sz w:val="24"/>
          <w:lang w:val="pl-PL"/>
        </w:rPr>
        <w:t>art. 1 pkt 82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456</w:t>
      </w:r>
      <w:r>
        <w:rPr>
          <w:rFonts w:ascii="Times New Roman"/>
          <w:b w:val="false"/>
          <w:i w:val="false"/>
          <w:color w:val="000000"/>
          <w:sz w:val="24"/>
          <w:lang w:val="pl-PL"/>
        </w:rPr>
        <w:t xml:space="preserve"> Art. 73 ust. 1a dodany przez </w:t>
      </w:r>
      <w:r>
        <w:rPr>
          <w:rFonts w:ascii="Times New Roman"/>
          <w:b w:val="false"/>
          <w:i w:val="false"/>
          <w:color w:val="1b1b1b"/>
          <w:sz w:val="24"/>
          <w:lang w:val="pl-PL"/>
        </w:rPr>
        <w:t>art. 1 pkt 82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457</w:t>
      </w:r>
      <w:r>
        <w:rPr>
          <w:rFonts w:ascii="Times New Roman"/>
          <w:b w:val="false"/>
          <w:i w:val="false"/>
          <w:color w:val="000000"/>
          <w:sz w:val="24"/>
          <w:lang w:val="pl-PL"/>
        </w:rPr>
        <w:t xml:space="preserve"> Art. 73 ust. 1b dodany przez </w:t>
      </w:r>
      <w:r>
        <w:rPr>
          <w:rFonts w:ascii="Times New Roman"/>
          <w:b w:val="false"/>
          <w:i w:val="false"/>
          <w:color w:val="1b1b1b"/>
          <w:sz w:val="24"/>
          <w:lang w:val="pl-PL"/>
        </w:rPr>
        <w:t>art. 1 pkt 82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458</w:t>
      </w:r>
      <w:r>
        <w:rPr>
          <w:rFonts w:ascii="Times New Roman"/>
          <w:b w:val="false"/>
          <w:i w:val="false"/>
          <w:color w:val="000000"/>
          <w:sz w:val="24"/>
          <w:lang w:val="pl-PL"/>
        </w:rPr>
        <w:t xml:space="preserve"> Art. 73 ust. 1c dodany przez </w:t>
      </w:r>
      <w:r>
        <w:rPr>
          <w:rFonts w:ascii="Times New Roman"/>
          <w:b w:val="false"/>
          <w:i w:val="false"/>
          <w:color w:val="1b1b1b"/>
          <w:sz w:val="24"/>
          <w:lang w:val="pl-PL"/>
        </w:rPr>
        <w:t>art. 1 pkt 82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459</w:t>
      </w:r>
      <w:r>
        <w:rPr>
          <w:rFonts w:ascii="Times New Roman"/>
          <w:b w:val="false"/>
          <w:i w:val="false"/>
          <w:color w:val="000000"/>
          <w:sz w:val="24"/>
          <w:lang w:val="pl-PL"/>
        </w:rPr>
        <w:t xml:space="preserve"> Art. 73 ust. 1d dodany przez </w:t>
      </w:r>
      <w:r>
        <w:rPr>
          <w:rFonts w:ascii="Times New Roman"/>
          <w:b w:val="false"/>
          <w:i w:val="false"/>
          <w:color w:val="1b1b1b"/>
          <w:sz w:val="24"/>
          <w:lang w:val="pl-PL"/>
        </w:rPr>
        <w:t>art. 1 pkt 82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460</w:t>
      </w:r>
      <w:r>
        <w:rPr>
          <w:rFonts w:ascii="Times New Roman"/>
          <w:b w:val="false"/>
          <w:i w:val="false"/>
          <w:color w:val="000000"/>
          <w:sz w:val="24"/>
          <w:lang w:val="pl-PL"/>
        </w:rPr>
        <w:t xml:space="preserve"> Art. 73 ust. 2 uchylony przez </w:t>
      </w:r>
      <w:r>
        <w:rPr>
          <w:rFonts w:ascii="Times New Roman"/>
          <w:b w:val="false"/>
          <w:i w:val="false"/>
          <w:color w:val="1b1b1b"/>
          <w:sz w:val="24"/>
          <w:lang w:val="pl-PL"/>
        </w:rPr>
        <w:t>art. 1 pkt 82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461</w:t>
      </w:r>
      <w:r>
        <w:rPr>
          <w:rFonts w:ascii="Times New Roman"/>
          <w:b w:val="false"/>
          <w:i w:val="false"/>
          <w:color w:val="000000"/>
          <w:sz w:val="24"/>
          <w:lang w:val="pl-PL"/>
        </w:rPr>
        <w:t xml:space="preserve"> Art. 73 ust. 3 zmieniony przez </w:t>
      </w:r>
      <w:r>
        <w:rPr>
          <w:rFonts w:ascii="Times New Roman"/>
          <w:b w:val="false"/>
          <w:i w:val="false"/>
          <w:color w:val="1b1b1b"/>
          <w:sz w:val="24"/>
          <w:lang w:val="pl-PL"/>
        </w:rPr>
        <w:t>art. 1 pkt 82 lit. d</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462</w:t>
      </w:r>
      <w:r>
        <w:rPr>
          <w:rFonts w:ascii="Times New Roman"/>
          <w:b w:val="false"/>
          <w:i w:val="false"/>
          <w:color w:val="000000"/>
          <w:sz w:val="24"/>
          <w:lang w:val="pl-PL"/>
        </w:rPr>
        <w:t xml:space="preserve"> Art. 73 ust. 3a dodany przez </w:t>
      </w:r>
      <w:r>
        <w:rPr>
          <w:rFonts w:ascii="Times New Roman"/>
          <w:b w:val="false"/>
          <w:i w:val="false"/>
          <w:color w:val="1b1b1b"/>
          <w:sz w:val="24"/>
          <w:lang w:val="pl-PL"/>
        </w:rPr>
        <w:t>art. 1 pkt 82 lit. e</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463</w:t>
      </w:r>
      <w:r>
        <w:rPr>
          <w:rFonts w:ascii="Times New Roman"/>
          <w:b w:val="false"/>
          <w:i w:val="false"/>
          <w:color w:val="000000"/>
          <w:sz w:val="24"/>
          <w:lang w:val="pl-PL"/>
        </w:rPr>
        <w:t xml:space="preserve"> Art. 73 ust. 4 zmieniony przez </w:t>
      </w:r>
      <w:r>
        <w:rPr>
          <w:rFonts w:ascii="Times New Roman"/>
          <w:b w:val="false"/>
          <w:i w:val="false"/>
          <w:color w:val="1b1b1b"/>
          <w:sz w:val="24"/>
          <w:lang w:val="pl-PL"/>
        </w:rPr>
        <w:t>art. 1 pkt 82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464</w:t>
      </w:r>
      <w:r>
        <w:rPr>
          <w:rFonts w:ascii="Times New Roman"/>
          <w:b w:val="false"/>
          <w:i w:val="false"/>
          <w:color w:val="000000"/>
          <w:sz w:val="24"/>
          <w:lang w:val="pl-PL"/>
        </w:rPr>
        <w:t xml:space="preserve"> Art. 73 ust. 5 zmieniony przez </w:t>
      </w:r>
      <w:r>
        <w:rPr>
          <w:rFonts w:ascii="Times New Roman"/>
          <w:b w:val="false"/>
          <w:i w:val="false"/>
          <w:color w:val="1b1b1b"/>
          <w:sz w:val="24"/>
          <w:lang w:val="pl-PL"/>
        </w:rPr>
        <w:t>art. 1 pkt 82 lit. f</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465</w:t>
      </w:r>
      <w:r>
        <w:rPr>
          <w:rFonts w:ascii="Times New Roman"/>
          <w:b w:val="false"/>
          <w:i w:val="false"/>
          <w:color w:val="000000"/>
          <w:sz w:val="24"/>
          <w:lang w:val="pl-PL"/>
        </w:rPr>
        <w:t xml:space="preserve"> Art. 73a dodany przez </w:t>
      </w:r>
      <w:r>
        <w:rPr>
          <w:rFonts w:ascii="Times New Roman"/>
          <w:b w:val="false"/>
          <w:i w:val="false"/>
          <w:color w:val="1b1b1b"/>
          <w:sz w:val="24"/>
          <w:lang w:val="pl-PL"/>
        </w:rPr>
        <w:t>art. 1 pkt 83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466</w:t>
      </w:r>
      <w:r>
        <w:rPr>
          <w:rFonts w:ascii="Times New Roman"/>
          <w:b w:val="false"/>
          <w:i w:val="false"/>
          <w:color w:val="000000"/>
          <w:sz w:val="24"/>
          <w:lang w:val="pl-PL"/>
        </w:rPr>
        <w:t xml:space="preserve"> Art. 73b dodany przez </w:t>
      </w:r>
      <w:r>
        <w:rPr>
          <w:rFonts w:ascii="Times New Roman"/>
          <w:b w:val="false"/>
          <w:i w:val="false"/>
          <w:color w:val="1b1b1b"/>
          <w:sz w:val="24"/>
          <w:lang w:val="pl-PL"/>
        </w:rPr>
        <w:t>art. 1 pkt 83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467</w:t>
      </w:r>
      <w:r>
        <w:rPr>
          <w:rFonts w:ascii="Times New Roman"/>
          <w:b w:val="false"/>
          <w:i w:val="false"/>
          <w:color w:val="000000"/>
          <w:sz w:val="24"/>
          <w:lang w:val="pl-PL"/>
        </w:rPr>
        <w:t xml:space="preserve"> Art. 73c dodany przez </w:t>
      </w:r>
      <w:r>
        <w:rPr>
          <w:rFonts w:ascii="Times New Roman"/>
          <w:b w:val="false"/>
          <w:i w:val="false"/>
          <w:color w:val="1b1b1b"/>
          <w:sz w:val="24"/>
          <w:lang w:val="pl-PL"/>
        </w:rPr>
        <w:t>art. 1 pkt 83</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468</w:t>
      </w:r>
      <w:r>
        <w:rPr>
          <w:rFonts w:ascii="Times New Roman"/>
          <w:b w:val="false"/>
          <w:i w:val="false"/>
          <w:color w:val="000000"/>
          <w:sz w:val="24"/>
          <w:lang w:val="pl-PL"/>
        </w:rPr>
        <w:t xml:space="preserve"> Art. 74 zmieniony przez </w:t>
      </w:r>
      <w:r>
        <w:rPr>
          <w:rFonts w:ascii="Times New Roman"/>
          <w:b w:val="false"/>
          <w:i w:val="false"/>
          <w:color w:val="1b1b1b"/>
          <w:sz w:val="24"/>
          <w:lang w:val="pl-PL"/>
        </w:rPr>
        <w:t>art. 1 pkt 84</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469</w:t>
      </w:r>
      <w:r>
        <w:rPr>
          <w:rFonts w:ascii="Times New Roman"/>
          <w:b w:val="false"/>
          <w:i w:val="false"/>
          <w:color w:val="000000"/>
          <w:sz w:val="24"/>
          <w:lang w:val="pl-PL"/>
        </w:rPr>
        <w:t xml:space="preserve"> Art. 75 uchylony przez </w:t>
      </w:r>
      <w:r>
        <w:rPr>
          <w:rFonts w:ascii="Times New Roman"/>
          <w:b w:val="false"/>
          <w:i w:val="false"/>
          <w:color w:val="1b1b1b"/>
          <w:sz w:val="24"/>
          <w:lang w:val="pl-PL"/>
        </w:rPr>
        <w:t>art. 1 pkt 85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470</w:t>
      </w:r>
      <w:r>
        <w:rPr>
          <w:rFonts w:ascii="Times New Roman"/>
          <w:b w:val="false"/>
          <w:i w:val="false"/>
          <w:color w:val="000000"/>
          <w:sz w:val="24"/>
          <w:lang w:val="pl-PL"/>
        </w:rPr>
        <w:t xml:space="preserve"> Art. 76 uchylony przez </w:t>
      </w:r>
      <w:r>
        <w:rPr>
          <w:rFonts w:ascii="Times New Roman"/>
          <w:b w:val="false"/>
          <w:i w:val="false"/>
          <w:color w:val="1b1b1b"/>
          <w:sz w:val="24"/>
          <w:lang w:val="pl-PL"/>
        </w:rPr>
        <w:t>art. 1 pkt 85</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471</w:t>
      </w:r>
      <w:r>
        <w:rPr>
          <w:rFonts w:ascii="Times New Roman"/>
          <w:b w:val="false"/>
          <w:i w:val="false"/>
          <w:color w:val="000000"/>
          <w:sz w:val="24"/>
          <w:lang w:val="pl-PL"/>
        </w:rPr>
        <w:t xml:space="preserve"> Art. 76a dodany przez </w:t>
      </w:r>
      <w:r>
        <w:rPr>
          <w:rFonts w:ascii="Times New Roman"/>
          <w:b w:val="false"/>
          <w:i w:val="false"/>
          <w:color w:val="1b1b1b"/>
          <w:sz w:val="24"/>
          <w:lang w:val="pl-PL"/>
        </w:rPr>
        <w:t>art. 1 pkt 86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472</w:t>
      </w:r>
      <w:r>
        <w:rPr>
          <w:rFonts w:ascii="Times New Roman"/>
          <w:b w:val="false"/>
          <w:i w:val="false"/>
          <w:color w:val="000000"/>
          <w:sz w:val="24"/>
          <w:lang w:val="pl-PL"/>
        </w:rPr>
        <w:t xml:space="preserve"> Art. 76b dodany przez </w:t>
      </w:r>
      <w:r>
        <w:rPr>
          <w:rFonts w:ascii="Times New Roman"/>
          <w:b w:val="false"/>
          <w:i w:val="false"/>
          <w:color w:val="1b1b1b"/>
          <w:sz w:val="24"/>
          <w:lang w:val="pl-PL"/>
        </w:rPr>
        <w:t>art. 1 pkt 86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473</w:t>
      </w:r>
      <w:r>
        <w:rPr>
          <w:rFonts w:ascii="Times New Roman"/>
          <w:b w:val="false"/>
          <w:i w:val="false"/>
          <w:color w:val="000000"/>
          <w:sz w:val="24"/>
          <w:lang w:val="pl-PL"/>
        </w:rPr>
        <w:t xml:space="preserve"> Art. 76c dodany przez </w:t>
      </w:r>
      <w:r>
        <w:rPr>
          <w:rFonts w:ascii="Times New Roman"/>
          <w:b w:val="false"/>
          <w:i w:val="false"/>
          <w:color w:val="1b1b1b"/>
          <w:sz w:val="24"/>
          <w:lang w:val="pl-PL"/>
        </w:rPr>
        <w:t>art. 1 pkt 86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474</w:t>
      </w:r>
      <w:r>
        <w:rPr>
          <w:rFonts w:ascii="Times New Roman"/>
          <w:b w:val="false"/>
          <w:i w:val="false"/>
          <w:color w:val="000000"/>
          <w:sz w:val="24"/>
          <w:lang w:val="pl-PL"/>
        </w:rPr>
        <w:t xml:space="preserve"> Art. 76d dodany przez </w:t>
      </w:r>
      <w:r>
        <w:rPr>
          <w:rFonts w:ascii="Times New Roman"/>
          <w:b w:val="false"/>
          <w:i w:val="false"/>
          <w:color w:val="1b1b1b"/>
          <w:sz w:val="24"/>
          <w:lang w:val="pl-PL"/>
        </w:rPr>
        <w:t>art. 1 pkt 86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475</w:t>
      </w:r>
      <w:r>
        <w:rPr>
          <w:rFonts w:ascii="Times New Roman"/>
          <w:b w:val="false"/>
          <w:i w:val="false"/>
          <w:color w:val="000000"/>
          <w:sz w:val="24"/>
          <w:lang w:val="pl-PL"/>
        </w:rPr>
        <w:t xml:space="preserve"> Art. 76e dodany przez </w:t>
      </w:r>
      <w:r>
        <w:rPr>
          <w:rFonts w:ascii="Times New Roman"/>
          <w:b w:val="false"/>
          <w:i w:val="false"/>
          <w:color w:val="1b1b1b"/>
          <w:sz w:val="24"/>
          <w:lang w:val="pl-PL"/>
        </w:rPr>
        <w:t>art. 1 pkt 86</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476</w:t>
      </w:r>
      <w:r>
        <w:rPr>
          <w:rFonts w:ascii="Times New Roman"/>
          <w:b w:val="false"/>
          <w:i w:val="false"/>
          <w:color w:val="000000"/>
          <w:sz w:val="24"/>
          <w:lang w:val="pl-PL"/>
        </w:rPr>
        <w:t xml:space="preserve"> Art. 83 zmieniony przez </w:t>
      </w:r>
      <w:r>
        <w:rPr>
          <w:rFonts w:ascii="Times New Roman"/>
          <w:b w:val="false"/>
          <w:i w:val="false"/>
          <w:color w:val="1b1b1b"/>
          <w:sz w:val="24"/>
          <w:lang w:val="pl-PL"/>
        </w:rPr>
        <w:t>art. 1 pkt 87</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477</w:t>
      </w:r>
      <w:r>
        <w:rPr>
          <w:rFonts w:ascii="Times New Roman"/>
          <w:b w:val="false"/>
          <w:i w:val="false"/>
          <w:color w:val="000000"/>
          <w:sz w:val="24"/>
          <w:lang w:val="pl-PL"/>
        </w:rPr>
        <w:t xml:space="preserve"> Art. 93 ust. 8 uchylony przez </w:t>
      </w:r>
      <w:r>
        <w:rPr>
          <w:rFonts w:ascii="Times New Roman"/>
          <w:b w:val="false"/>
          <w:i w:val="false"/>
          <w:color w:val="1b1b1b"/>
          <w:sz w:val="24"/>
          <w:lang w:val="pl-PL"/>
        </w:rPr>
        <w:t>art. 1 pkt 88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478</w:t>
      </w:r>
      <w:r>
        <w:rPr>
          <w:rFonts w:ascii="Times New Roman"/>
          <w:b w:val="false"/>
          <w:i w:val="false"/>
          <w:color w:val="000000"/>
          <w:sz w:val="24"/>
          <w:lang w:val="pl-PL"/>
        </w:rPr>
        <w:t xml:space="preserve"> Art. 93 ust. 11 zmieniony przez </w:t>
      </w:r>
      <w:r>
        <w:rPr>
          <w:rFonts w:ascii="Times New Roman"/>
          <w:b w:val="false"/>
          <w:i w:val="false"/>
          <w:color w:val="1b1b1b"/>
          <w:sz w:val="24"/>
          <w:lang w:val="pl-PL"/>
        </w:rPr>
        <w:t>art. 1 pkt 88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479</w:t>
      </w:r>
      <w:r>
        <w:rPr>
          <w:rFonts w:ascii="Times New Roman"/>
          <w:b w:val="false"/>
          <w:i w:val="false"/>
          <w:color w:val="000000"/>
          <w:sz w:val="24"/>
          <w:lang w:val="pl-PL"/>
        </w:rPr>
        <w:t xml:space="preserve"> Art. 93 ust. 23 uchylony przez </w:t>
      </w:r>
      <w:r>
        <w:rPr>
          <w:rFonts w:ascii="Times New Roman"/>
          <w:b w:val="false"/>
          <w:i w:val="false"/>
          <w:color w:val="1b1b1b"/>
          <w:sz w:val="24"/>
          <w:lang w:val="pl-PL"/>
        </w:rPr>
        <w:t>art. 1 pkt 88 lit. c</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480</w:t>
      </w:r>
      <w:r>
        <w:rPr>
          <w:rFonts w:ascii="Times New Roman"/>
          <w:b w:val="false"/>
          <w:i w:val="false"/>
          <w:color w:val="000000"/>
          <w:sz w:val="24"/>
          <w:lang w:val="pl-PL"/>
        </w:rPr>
        <w:t xml:space="preserve"> Załącznik nr 1 zmieniony przez </w:t>
      </w:r>
      <w:r>
        <w:rPr>
          <w:rFonts w:ascii="Times New Roman"/>
          <w:b w:val="false"/>
          <w:i w:val="false"/>
          <w:color w:val="1b1b1b"/>
          <w:sz w:val="24"/>
          <w:lang w:val="pl-PL"/>
        </w:rPr>
        <w:t>art. 1 pkt 89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481</w:t>
      </w:r>
      <w:r>
        <w:rPr>
          <w:rFonts w:ascii="Times New Roman"/>
          <w:b w:val="false"/>
          <w:i w:val="false"/>
          <w:color w:val="000000"/>
          <w:sz w:val="24"/>
          <w:lang w:val="pl-PL"/>
        </w:rPr>
        <w:t xml:space="preserve"> Załącznik nr 2 zmieniony przez </w:t>
      </w:r>
      <w:r>
        <w:rPr>
          <w:rFonts w:ascii="Times New Roman"/>
          <w:b w:val="false"/>
          <w:i w:val="false"/>
          <w:color w:val="1b1b1b"/>
          <w:sz w:val="24"/>
          <w:lang w:val="pl-PL"/>
        </w:rPr>
        <w:t>art. 1 pkt 89</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482</w:t>
      </w:r>
      <w:r>
        <w:rPr>
          <w:rFonts w:ascii="Times New Roman"/>
          <w:b w:val="false"/>
          <w:i w:val="false"/>
          <w:color w:val="000000"/>
          <w:sz w:val="24"/>
          <w:lang w:val="pl-PL"/>
        </w:rPr>
        <w:t xml:space="preserve"> Zmiany tekstu jednolitego wymienionej ustawy zostały ogłoszone w Dz. U. z 2023 r. poz. 1597, 1688, 1852 i 2029, z 2024 r. poz. 1834, 1911 i 1914, z 2025 r. poz. 1812 oraz z 2026 r. poz. 174. </w:t>
      </w:r>
    </w:p>
    <w:p>
      <w:pPr>
        <w:spacing w:after="0"/>
        <w:ind w:left="0"/>
        <w:jc w:val="left"/>
        <w:textAlignment w:val="auto"/>
      </w:pPr>
      <w:r>
        <w:rPr>
          <w:rFonts w:ascii="Times New Roman"/>
          <w:b w:val="false"/>
          <w:i w:val="false"/>
          <w:color w:val="000000"/>
          <w:sz w:val="24"/>
          <w:vertAlign w:val="superscript"/>
          <w:lang w:val="pl-PL"/>
        </w:rPr>
        <w:t>483</w:t>
      </w:r>
      <w:r>
        <w:rPr>
          <w:rFonts w:ascii="Times New Roman"/>
          <w:b w:val="false"/>
          <w:i w:val="false"/>
          <w:color w:val="000000"/>
          <w:sz w:val="24"/>
          <w:lang w:val="pl-PL"/>
        </w:rPr>
        <w:t xml:space="preserve"> Sprostowanie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zostało ogłoszone w Dz. Urz. UE L 136 z 29.05.2007, str. 3, Dz. Urz. UE L 141 z 31.05.2008, str. 22, Dz. Urz. UE L 36 z 05.02.2009, str. 84, Dz. Urz. UE L 118 z 12.05.2010, str. 89, Dz. Urz. UE L 260 z 02.10.2010, str. 22, Dz. Urz. UE L 49 z 24.02.2011, str. 52, Dz. Urz. UE L 136 z 24.05.2011, str. 105, Dz. Urz. UE L 331 z 18.11.2014, str. 41, Dz. Urz. UE L 12 z 17.01.2017, str. 97, Dz. Urz. UE L 102 z 23.04.2018, str. 99, Dz. Urz. UE L 249 z 04.10.2018, str. 19 i 18, Dz. Urz. UE L 141 z 05.05.2020, str. 37, Dz. Urz. UE L 83 z 10.03.2022, str. 64 oraz Dz. Urz. UE L 2025/90479 z 06.06.2025, zmiany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zostały ogłoszone w Dz. Urz. UE L 304 z 22.11.2007, str. 1, Dz. Urz. UE L 268 z 09.10.2008, str. 14, Dz. Urz. UE L 353 z 31.12.2008, str. 1, Dz. Urz. UE L 46 z 17.02.2009, str. 3, Dz. Urz. UE L 164 z 26.06.2009, str. 7, Dz. Urz. UE L 86 z 01.04.2010, str. 7, Dz. Urz. UE L 133 z 31.05.2010, str. 1, Dz. Urz. UE L 44 z 18.02.2011, str. 2, Dz. Urz. UE L 58 z 03.03.2011, str. 27, Dz. Urz. UE L 69 z 16.03.2011, str. 3 i 7, Dz. Urz. UE L 101 z 15.04.2011, str. 12, Dz. Urz. UE L 134 z 21.05.2011, str. 2, Dz. Urz. UE L 37 z 10.02.2012, str. 1, Dz. Urz. UE L 41 z 15.02.2012, str. 1, Dz. Urz. UE L 128 z 16.05.2012, str. 1, Dz. Urz. UE L 252 z 19.09.2012, str. 1 i 4, Dz. Urz. UE L 253 z 20.09.2012, str. 1 i 5, Dz. Urz. UE L 43 z 14.02.2013, str. 24, Dz. Urz. UE L 108 z 18.04.2013, str. 1, Dz. Urz. UE L 158 z 10.06.2013, str. 1, Dz. Urz. UE L 328 z 07.12.2013, str. 69, Dz. Urz. UE L 90 z 26.03.2014, str. 1, Dz. Urz. UE L 93 z 28.03.2014, str. 24, Dz. Urz. UE L 136 z 09.05.2014, str. 19, Dz. Urz. UE L 244 z 19.08.2014, str. 6, Dz. Urz. UE L 50 z 21.02.2015, str. 1, Dz. Urz. UE L 58 z 03.03.2015, str. 43, Dz. Urz. UE L 104 z 23.04.2015, str. 2, Dz. Urz. UE L 132 z 29.05.2015, str. 8, Dz. Urz. UE L 233 z 05.09.2015, str. 2, Dz. Urz. UE L 9 z 14.01.2016, str. 1, Dz. Urz. UE L 40 z 17.02.2016, str. 5, Dz. Urz. UE L 144 z 01.06.2016, str. 27, Dz. Urz. UE L 165 z 23.06.2016, str. 4, Dz. Urz. UE L 166 z 24.06.2016, str. 1, Dz. Urz. UE L 255 z 21.09.2016, str. 14, Dz. Urz. UE L 337 z 13.12.2016, str. 3, Dz. Urz. UE L 35 z 10.02.2017, str. 6, Dz. Urz. UE L 104 z 20.04.2017, str. 8, Dz. Urz. UE L 150 z 14.06.2017, str. 7 i 14, Dz. Urz. UE L 224 z 31.08.2017, str. 110, Dz. Urz. UE L 6 z 11.01.2018, str. 45, Dz. Urz. UE L 99 z 19.04.2018, str. 3 i 7, Dz. Urz. UE L 114 z 04.05.2018, str. 4, Dz. Urz. UE L 256 z 12.10.2018, str. 1, Dz. Urz. UE L 308 z 04.12.2018, str. 1, Dz. Urz. UE L 322 z 18.12.2018, str. 14, Dz. Urz. UE L 154 z 12.06.2019, str. 37, Dz. Urz. UE L 186 z 11.07.2019, str. 1, Dz. Urz. UE L 259 z 10.10.2019, str. 9, Dz. Urz. UE L 35 z 07.02.2020, str. 1, Dz. Urz. UE L 110 z 08.04.2020, str. 1, Dz. Urz. UE L 203 z 26.06.2020, str. 28, Dz. Urz. UE L 252 z 04.08.2020, str. 24, Dz. Urz. UE L 423 z 15.12.2020, str. 6, Dz. Urz. UE L 425 z 16.12.2020, str. 3, Dz. Urz. UE L 431 z 21.12.2020, str. 38, Dz. Urz. UE L 24 z 26.01.2021, str. 19, Dz. Urz. UE L 216 z 18.06.2021, str. 121, Dz. Urz. UE L 259 z 21.07.2021, str. 1, Dz. Urz. UE L 282 z 05.08.2021, str. 29, Dz. Urz. UE L 415 z 22.11.2021, str. 16, Dz. Urz. UE L 418 z 24.11.2021, str. 6, Dz. Urz. UE L 446 z 14.12.2021, str. 34, Dz. Urz. UE L 98 z 25.03.2022, str. 38, Dz. Urz. UE L 112 z 11.04.2022, str. 6, Dz. Urz. UE L 123 z 08.05.2023, str. 1, Dz. Urz. UE L 149 z 09.06.2023, str. 49, Dz. Urz. UE L 180 z 17.07.2023, str. 12, Dz. Urz. UE L 238 z 27.09.2023, str. 67, Dz. Urz. UE L 2023/2482 z 14.11.2023, Dz. Urz. UE L 2024/1328 z 17.05.2024, Dz. Urz. UE L 2024/2462 z 20.09.2024, Dz. Urz. UE L 2024/2929 z 28.11.2024, Dz. Urz. UE L 2025/660 z 02.04.2025, Dz. Urz. UE L 2025/1090 z 03.06.2025 oraz Dz. Urz. UE L 2025/1731 z 11.08.2025.</w:t>
      </w:r>
    </w:p>
    <w:p>
      <w:pPr>
        <w:spacing w:after="0"/>
        <w:ind w:left="0"/>
        <w:jc w:val="left"/>
        <w:textAlignment w:val="auto"/>
      </w:pPr>
      <w:r>
        <w:rPr>
          <w:rFonts w:ascii="Times New Roman"/>
          <w:b w:val="false"/>
          <w:i w:val="false"/>
          <w:color w:val="000000"/>
          <w:sz w:val="24"/>
          <w:vertAlign w:val="superscript"/>
          <w:lang w:val="pl-PL"/>
        </w:rPr>
        <w:t>484</w:t>
      </w:r>
      <w:r>
        <w:rPr>
          <w:rFonts w:ascii="Times New Roman"/>
          <w:b w:val="false"/>
          <w:i w:val="false"/>
          <w:color w:val="000000"/>
          <w:sz w:val="24"/>
          <w:lang w:val="pl-PL"/>
        </w:rPr>
        <w:t xml:space="preserve"> Sprostowanie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zostało ogłoszone w Dz. Urz. UE L 179 z 07.07.2007, str. 59, Dz. Urz. UE L 327 z 12.11.2014, str. 9 oraz Dz. Urz. UE L 37 z 13.02.2015, str. 24, zmiany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zostały ogłoszone w Dz. Urz. UE L 245 z 29.09.2003, str. 4, Dz. Urz. UE L 100 z 08.04.2006, str. 3, Dz. Urz. UE L 60 z 05.03.2008, str. 17, L 188 z 18.07.2009, str. 14, Dz. Urz. UE L 189 z 27.06.2014, str. 1, Dz. Urz. UE L 35 z 10.02.2017, str. 10, Dz. Urz. UE L 117 z 05.05.2017, str. 1, Dz. Urz. UE L 198 z 25.07.2019, str. 241, Dz. Urz. UE L 231 z 06.09.2019, str. 1 oraz Dz. Urz. UE L 2024/908 z 20.03.2024. </w:t>
      </w:r>
    </w:p>
    <w:p>
      <w:pPr>
        <w:spacing w:after="0"/>
        <w:ind w:left="0"/>
        <w:jc w:val="left"/>
        <w:textAlignment w:val="auto"/>
      </w:pPr>
      <w:r>
        <w:rPr>
          <w:rFonts w:ascii="Times New Roman"/>
          <w:b w:val="false"/>
          <w:i w:val="false"/>
          <w:color w:val="000000"/>
          <w:sz w:val="24"/>
          <w:vertAlign w:val="superscript"/>
          <w:lang w:val="pl-PL"/>
        </w:rPr>
        <w:t>485</w:t>
      </w:r>
      <w:r>
        <w:rPr>
          <w:rFonts w:ascii="Times New Roman"/>
          <w:b w:val="false"/>
          <w:i w:val="false"/>
          <w:color w:val="000000"/>
          <w:sz w:val="24"/>
          <w:lang w:val="pl-PL"/>
        </w:rPr>
        <w:t xml:space="preserve"> Sprostowanie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zostało ogłoszone w Dz. Urz. UE L 117 z 03.05.2019, str. 9, Dz. Urz. UE L 334 z 27.12.2019, str. 165 oraz Dz. Urz. UE L 241 z 08.07.2021, str. 7, zmiany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zostały ogłoszone w Dz. Urz. UE L 130 z 24.04.2020, str. 18, Dz. Urz. UE L 70 z 08.03.2023, str. 1, Dz. Urz. UE L 80 z 20.03.2023, str. 24, Dz. Urz. UE L 2024/568 z 14.02.2024 oraz Dz. Urz. UE L 2024/1860 z 09.07.2024. </w:t>
      </w:r>
    </w:p>
    <w:p>
      <w:pPr>
        <w:spacing w:after="0"/>
        <w:ind w:left="0"/>
        <w:jc w:val="left"/>
        <w:textAlignment w:val="auto"/>
      </w:pPr>
      <w:r>
        <w:rPr>
          <w:rFonts w:ascii="Times New Roman"/>
          <w:b w:val="false"/>
          <w:i w:val="false"/>
          <w:color w:val="000000"/>
          <w:sz w:val="24"/>
          <w:vertAlign w:val="superscript"/>
          <w:lang w:val="pl-PL"/>
        </w:rPr>
        <w:t>486</w:t>
      </w:r>
      <w:r>
        <w:rPr>
          <w:rFonts w:ascii="Times New Roman"/>
          <w:b w:val="false"/>
          <w:i w:val="false"/>
          <w:color w:val="000000"/>
          <w:sz w:val="24"/>
          <w:lang w:val="pl-PL"/>
        </w:rPr>
        <w:t xml:space="preserve"> Sprostowanie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zostało ogłoszone w Dz. Urz. UE L 117 z 03.05.2019, str. 11, Dz. Urz. UE L 334 z 27.12.2019, str. 167 oraz Dz. Urz. UE L 233 z 01.07.2021, str. 9, zmiany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zostały ogłoszone w Dz. Urz. UE L 19 z 28.01.2022, str. 3, Dz. Urz. UE L 70 z 08.03.2023, str. 3, Dz. Urz. UE L 80 z 20.03.2023, str. 24 oraz Dz. Urz. UE L 2024/1860 z 09.07.2024. </w:t>
      </w:r>
    </w:p>
    <w:p>
      <w:pPr>
        <w:spacing w:after="0"/>
        <w:ind w:left="0"/>
        <w:jc w:val="left"/>
        <w:textAlignment w:val="auto"/>
      </w:pPr>
      <w:r>
        <w:rPr>
          <w:rFonts w:ascii="Times New Roman"/>
          <w:b w:val="false"/>
          <w:i w:val="false"/>
          <w:color w:val="000000"/>
          <w:sz w:val="24"/>
          <w:vertAlign w:val="superscript"/>
          <w:lang w:val="pl-PL"/>
        </w:rPr>
        <w:t>487</w:t>
      </w:r>
      <w:r>
        <w:rPr>
          <w:rFonts w:ascii="Times New Roman"/>
          <w:b w:val="false"/>
          <w:i w:val="false"/>
          <w:color w:val="000000"/>
          <w:sz w:val="24"/>
          <w:lang w:val="pl-PL"/>
        </w:rPr>
        <w:t xml:space="preserve"> Sprostowanie wymienionego rozporządzenia zostało ogłoszone w Dz. Urz. UE L 2024/90785 z 06.12.2024, zmiany wymienionego </w:t>
      </w:r>
      <w:r>
        <w:rPr>
          <w:rFonts w:ascii="Times New Roman"/>
          <w:b w:val="false"/>
          <w:i w:val="false"/>
          <w:color w:val="1b1b1b"/>
          <w:sz w:val="24"/>
          <w:lang w:val="pl-PL"/>
        </w:rPr>
        <w:t>rozporządzenia</w:t>
      </w:r>
      <w:r>
        <w:rPr>
          <w:rFonts w:ascii="Times New Roman"/>
          <w:b w:val="false"/>
          <w:i w:val="false"/>
          <w:color w:val="000000"/>
          <w:sz w:val="24"/>
          <w:lang w:val="pl-PL"/>
        </w:rPr>
        <w:t xml:space="preserve"> zostały ogłoszone w Dz. Urz. UE L 97 z 09.04.2008, str. 13, Dz. Urz. UE L 198 z 25.07.2019, str. 241 oraz Dz. Urz. UE L 19 z 20.01.2023, str. 5. </w:t>
      </w:r>
    </w:p>
    <w:p>
      <w:pPr>
        <w:spacing w:after="0"/>
        <w:ind w:left="0"/>
        <w:jc w:val="left"/>
        <w:textAlignment w:val="auto"/>
      </w:pPr>
      <w:r>
        <w:rPr>
          <w:rFonts w:ascii="Times New Roman"/>
          <w:b w:val="false"/>
          <w:i w:val="false"/>
          <w:color w:val="000000"/>
          <w:sz w:val="24"/>
          <w:vertAlign w:val="superscript"/>
          <w:lang w:val="pl-PL"/>
        </w:rPr>
        <w:t>488</w:t>
      </w:r>
      <w:r>
        <w:rPr>
          <w:rFonts w:ascii="Times New Roman"/>
          <w:b w:val="false"/>
          <w:i w:val="false"/>
          <w:color w:val="000000"/>
          <w:sz w:val="24"/>
          <w:lang w:val="pl-PL"/>
        </w:rPr>
        <w:t xml:space="preserve"> Załącznik nr 3 dodany przez </w:t>
      </w:r>
      <w:r>
        <w:rPr>
          <w:rFonts w:ascii="Times New Roman"/>
          <w:b w:val="false"/>
          <w:i w:val="false"/>
          <w:color w:val="1b1b1b"/>
          <w:sz w:val="24"/>
          <w:lang w:val="pl-PL"/>
        </w:rPr>
        <w:t>art. 1 pkt 90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489</w:t>
      </w:r>
      <w:r>
        <w:rPr>
          <w:rFonts w:ascii="Times New Roman"/>
          <w:b w:val="false"/>
          <w:i w:val="false"/>
          <w:color w:val="000000"/>
          <w:sz w:val="24"/>
          <w:lang w:val="pl-PL"/>
        </w:rPr>
        <w:t xml:space="preserve"> Załącznik nr 4 dodany przez </w:t>
      </w:r>
      <w:r>
        <w:rPr>
          <w:rFonts w:ascii="Times New Roman"/>
          <w:b w:val="false"/>
          <w:i w:val="false"/>
          <w:color w:val="1b1b1b"/>
          <w:sz w:val="24"/>
          <w:lang w:val="pl-PL"/>
        </w:rPr>
        <w:t>art. 1 pkt 90</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